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E8778" w14:textId="77777777" w:rsidR="003321EF" w:rsidRDefault="003321EF" w:rsidP="003321EF">
      <w:pPr>
        <w:spacing w:after="0"/>
        <w:jc w:val="center"/>
        <w:rPr>
          <w:b/>
          <w:bCs/>
          <w:i/>
          <w:iCs/>
        </w:rPr>
      </w:pPr>
    </w:p>
    <w:p w14:paraId="45C006CC" w14:textId="77777777" w:rsidR="003321EF" w:rsidRPr="0065793D" w:rsidRDefault="003321EF" w:rsidP="003321EF">
      <w:pPr>
        <w:spacing w:after="0"/>
        <w:jc w:val="center"/>
        <w:rPr>
          <w:b/>
          <w:bCs/>
          <w:sz w:val="24"/>
          <w:szCs w:val="24"/>
        </w:rPr>
      </w:pPr>
      <w:r w:rsidRPr="0065793D">
        <w:rPr>
          <w:b/>
          <w:bCs/>
          <w:sz w:val="24"/>
          <w:szCs w:val="24"/>
        </w:rPr>
        <w:t>PLAN KOMUNIKACJI Z LOKALNĄ SPOŁECZNOŚCIĄ</w:t>
      </w:r>
    </w:p>
    <w:p w14:paraId="72D191DA" w14:textId="77777777" w:rsidR="003321EF" w:rsidRPr="0065793D" w:rsidRDefault="003321EF" w:rsidP="003321EF">
      <w:pPr>
        <w:spacing w:after="0"/>
        <w:jc w:val="center"/>
        <w:rPr>
          <w:b/>
          <w:bCs/>
          <w:sz w:val="24"/>
          <w:szCs w:val="24"/>
        </w:rPr>
      </w:pPr>
      <w:r w:rsidRPr="0065793D">
        <w:rPr>
          <w:b/>
          <w:bCs/>
          <w:sz w:val="24"/>
          <w:szCs w:val="24"/>
        </w:rPr>
        <w:t>W RAMACH LOKALNEJ STRATEGII ROZWOJU NA LATA 2023-2029</w:t>
      </w:r>
    </w:p>
    <w:p w14:paraId="6CD55EEA" w14:textId="77777777" w:rsidR="003321EF" w:rsidRPr="003321EF" w:rsidRDefault="003321EF" w:rsidP="003321EF">
      <w:pPr>
        <w:spacing w:after="0"/>
        <w:jc w:val="center"/>
        <w:rPr>
          <w:b/>
          <w:bCs/>
          <w:i/>
          <w:iCs/>
        </w:rPr>
      </w:pPr>
    </w:p>
    <w:p w14:paraId="50A727A0" w14:textId="77777777" w:rsidR="005B7AC1" w:rsidRPr="00B1640C" w:rsidRDefault="003321EF" w:rsidP="00B1640C">
      <w:pPr>
        <w:spacing w:after="0" w:line="360" w:lineRule="auto"/>
        <w:ind w:firstLine="360"/>
        <w:jc w:val="both"/>
        <w:rPr>
          <w:rFonts w:ascii="Times New Roman" w:hAnsi="Times New Roman" w:cs="Times New Roman"/>
        </w:rPr>
      </w:pPr>
      <w:r w:rsidRPr="00B1640C">
        <w:rPr>
          <w:rFonts w:ascii="Times New Roman" w:hAnsi="Times New Roman" w:cs="Times New Roman"/>
        </w:rPr>
        <w:t>Celem ogólnym Planu Komunikacji jest promowanie Lokalnej Strategii Rozwoju obszaru LGD Gmin Dobrzyńskich Region Południe na lata 2023 - 2027 (dalej również Strategia lub LSR), a tym samym jej celów ogólnych i szczegółowych, zwłaszcza wśród mediów i ogółu mieszkańców terenu na którym działa Stowarzyszenie LGD Gmin Dobrzyńskich Region Południe. Rozpowszechnianie wśród potencjalnych Beneficjentów informacji o przewidzianych w Strategii możliwościach wsparcia ułatwi ubieganie się o przyznanie dotacji w ramach Funduszy Europejskich. Planowane działania mają wzbudzić zainteresowanie oraz zachęcić potencjalnych Beneficjentów do aplikowania o środki, zwiększając tym samym liczbę zrealizowanych inwestycji, a przez to wzmacniając konkurencyjność i atrakcyjność Lokalnej Grupy Działania. Celem działań jest ponadto utrwalenie i pogłębienie akceptacji i przychylności mieszkańców obszaru LGD Gmin Dobrzyńskich Region Południe dla istnienia samych funduszy oraz skutków ich działania w gminach.</w:t>
      </w:r>
      <w:r w:rsidR="00EA041E" w:rsidRPr="00B1640C">
        <w:rPr>
          <w:rFonts w:ascii="Times New Roman" w:hAnsi="Times New Roman" w:cs="Times New Roman"/>
        </w:rPr>
        <w:t xml:space="preserve"> </w:t>
      </w:r>
      <w:r w:rsidR="005B7AC1" w:rsidRPr="00B1640C">
        <w:rPr>
          <w:rFonts w:ascii="Times New Roman" w:hAnsi="Times New Roman" w:cs="Times New Roman"/>
        </w:rPr>
        <w:t>W okresie programowania 2014 – 2020 Stowarzyszenie LGD Gmin Dobrzyńskich Region Południe wykonywało obowiązek realizacji działań informacyjnych i promocyjnych na podstawie Umowy o warunkach i sposobie realizacji Lokalnej Strategii Rozwoju.</w:t>
      </w:r>
    </w:p>
    <w:p w14:paraId="37A7FF44" w14:textId="77777777" w:rsidR="00EA041E" w:rsidRPr="00B1640C" w:rsidRDefault="00EA041E" w:rsidP="00CC25E5">
      <w:pPr>
        <w:spacing w:after="0" w:line="360" w:lineRule="auto"/>
        <w:jc w:val="both"/>
        <w:rPr>
          <w:rFonts w:ascii="Times New Roman" w:hAnsi="Times New Roman" w:cs="Times New Roman"/>
        </w:rPr>
      </w:pPr>
    </w:p>
    <w:p w14:paraId="42F89AE3" w14:textId="77777777" w:rsidR="0065793D" w:rsidRPr="00B1640C" w:rsidRDefault="0065793D" w:rsidP="0065793D">
      <w:pPr>
        <w:pStyle w:val="Akapitzlist"/>
        <w:numPr>
          <w:ilvl w:val="0"/>
          <w:numId w:val="3"/>
        </w:numPr>
        <w:rPr>
          <w:rFonts w:ascii="Times New Roman" w:hAnsi="Times New Roman" w:cs="Times New Roman"/>
          <w:b/>
          <w:bCs/>
        </w:rPr>
      </w:pPr>
      <w:r w:rsidRPr="00B1640C">
        <w:rPr>
          <w:rFonts w:ascii="Times New Roman" w:hAnsi="Times New Roman" w:cs="Times New Roman"/>
          <w:b/>
          <w:bCs/>
        </w:rPr>
        <w:t>GŁÓWNE CELE I PRZESŁANKI OPRACOWANIA PLANU KOMUNIKACJI</w:t>
      </w:r>
    </w:p>
    <w:p w14:paraId="565ABF5E" w14:textId="77777777" w:rsidR="00F70E7A" w:rsidRPr="00B1640C" w:rsidRDefault="00CC25E5" w:rsidP="006F68B8">
      <w:pPr>
        <w:spacing w:after="0" w:line="360" w:lineRule="auto"/>
        <w:jc w:val="both"/>
        <w:rPr>
          <w:rFonts w:ascii="Times New Roman" w:hAnsi="Times New Roman" w:cs="Times New Roman"/>
        </w:rPr>
      </w:pPr>
      <w:r w:rsidRPr="00B1640C">
        <w:rPr>
          <w:rFonts w:ascii="Times New Roman" w:hAnsi="Times New Roman" w:cs="Times New Roman"/>
        </w:rPr>
        <w:t>Kwestia skuteczności działań animacyjnych, informacyjno-promocyjnych, doradczych była przedmiotem ewaluacji wewnętrznej prowadzonej przez LGD – w</w:t>
      </w:r>
      <w:r w:rsidR="00EA041E" w:rsidRPr="00B1640C">
        <w:rPr>
          <w:rFonts w:ascii="Times New Roman" w:hAnsi="Times New Roman" w:cs="Times New Roman"/>
        </w:rPr>
        <w:t>nioski z ewaluacji wskazują, że „Działania LGD są zakrojone na szeroką skalę tj.: konsultacje, szkolenia, sieć internetowa, spotkania czy punkt konsultacyjny. Potwierdza to wynik badań ankietowych który wskazuje, że 73,8 % ankietowanych w przeprowadzonych badaniach wskazało na posiadanie wiedzy o możliwości uzyskania dofinansowania ze strony LGD oraz fakt, że niemalże wszyscy wnioskodawcy składający wnioski korzystają z pomocy szkoleniowej lub doradczej ze strony LGD</w:t>
      </w:r>
      <w:r w:rsidRPr="00B1640C">
        <w:rPr>
          <w:rFonts w:ascii="Times New Roman" w:hAnsi="Times New Roman" w:cs="Times New Roman"/>
        </w:rPr>
        <w:t xml:space="preserve">. </w:t>
      </w:r>
    </w:p>
    <w:p w14:paraId="726C6F3C" w14:textId="77777777" w:rsidR="006F68B8" w:rsidRPr="00B1640C" w:rsidRDefault="006F68B8" w:rsidP="006F68B8">
      <w:pPr>
        <w:spacing w:after="0" w:line="360" w:lineRule="auto"/>
        <w:jc w:val="both"/>
        <w:rPr>
          <w:rFonts w:ascii="Times New Roman" w:hAnsi="Times New Roman" w:cs="Times New Roman"/>
        </w:rPr>
      </w:pPr>
      <w:r w:rsidRPr="00B1640C">
        <w:rPr>
          <w:rFonts w:ascii="Times New Roman" w:hAnsi="Times New Roman" w:cs="Times New Roman"/>
        </w:rPr>
        <w:t>Badania jakości prowadzonych działań tego typu wskazują, że 642 osoby były bardzo zadowolone z udziału w działaniach organizowanych przez Grupę, co jest zarówno wartością wyższą od zakładanej (wskaźnik zrealizowany w 142%) jak i stanowi wysoki odsetek wszystkich uczestników spotkań (ponad 91%). Na podobnie wysokim poziomie kształtuje się indywidualne doradztwo udzielone wnioskodawcom, z którego w latach 2016-202</w:t>
      </w:r>
      <w:r w:rsidR="00FA5406">
        <w:rPr>
          <w:rFonts w:ascii="Times New Roman" w:hAnsi="Times New Roman" w:cs="Times New Roman"/>
        </w:rPr>
        <w:t>1</w:t>
      </w:r>
      <w:r w:rsidRPr="00B1640C">
        <w:rPr>
          <w:rFonts w:ascii="Times New Roman" w:hAnsi="Times New Roman" w:cs="Times New Roman"/>
        </w:rPr>
        <w:t xml:space="preserve"> skorzystało w sumie 188 osób. Opinie te wskazują na wysoką efektywność działań informacyjnych podejmowanych przez biuro LGD.</w:t>
      </w:r>
    </w:p>
    <w:p w14:paraId="44F434D4"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rPr>
        <w:t xml:space="preserve">Tematyka ta była także jedną z kwestii poruszanych podczas badań ankietowych – zarówno wnioskodawców jak i mieszkańców. </w:t>
      </w:r>
    </w:p>
    <w:p w14:paraId="679B6F5F"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rPr>
        <w:t xml:space="preserve">Wnioskodawców konkursów ogłaszanych przez LGD zapytano skąd się dowiedzieli o naborach wniosków organizowanych przez LGD – odpowiedź na to pytania pozwala na ocenę efektywności </w:t>
      </w:r>
      <w:r w:rsidRPr="00B1640C">
        <w:rPr>
          <w:rFonts w:ascii="Times New Roman" w:hAnsi="Times New Roman" w:cs="Times New Roman"/>
        </w:rPr>
        <w:lastRenderedPageBreak/>
        <w:t xml:space="preserve">informowania biura Grupy o ogłaszanych naborach wniosków. Zdecydowanie najwięcej ankietowanych wskazało, że powyższa informacja pochodziła od bezpośrednich kontaktów z członkami LGD oraz ze strony internetowej LGD – z tych źródeł skorzystało 69% ankietowanych. Na kolejnych miejscach znalazły się, w kolejności liczby uzyskanych odpowiedzi: odpowiedz „od innych osób” oraz „z informacji mailowej wysyłanej przez LGD”. Jak wynika z przedstawionych danych dwa najczęstsze źródła, z których wnioskodawcy dowiedzieli się o naborze wniosków stanowią działania podejmowane bezpośrednio przez biuro Grupy tj. zamieszczanie informacji na stronie internetowej oraz bezpośrednie informacje przekazywane podczas spotkań itd.. Statystyki te potwierdzają, że działania biura LGD stanowią podstawowe źródło informacji o organizowanych naborach wniosków.  </w:t>
      </w:r>
    </w:p>
    <w:p w14:paraId="510C7EDB" w14:textId="77777777" w:rsidR="006F68B8" w:rsidRPr="00B1640C" w:rsidRDefault="006F68B8" w:rsidP="006F68B8">
      <w:pPr>
        <w:spacing w:line="360" w:lineRule="auto"/>
        <w:jc w:val="both"/>
        <w:rPr>
          <w:rFonts w:ascii="Times New Roman" w:hAnsi="Times New Roman" w:cs="Times New Roman"/>
          <w:i/>
          <w:iCs/>
        </w:rPr>
      </w:pPr>
      <w:r w:rsidRPr="00B1640C">
        <w:rPr>
          <w:rFonts w:ascii="Times New Roman" w:hAnsi="Times New Roman" w:cs="Times New Roman"/>
          <w:noProof/>
        </w:rPr>
        <w:drawing>
          <wp:inline distT="0" distB="0" distL="0" distR="0" wp14:anchorId="4BB458C6" wp14:editId="60BE9059">
            <wp:extent cx="5760000" cy="1800000"/>
            <wp:effectExtent l="0" t="0" r="0" b="0"/>
            <wp:docPr id="20" name="Wykres 20">
              <a:extLst xmlns:a="http://schemas.openxmlformats.org/drawingml/2006/main">
                <a:ext uri="{FF2B5EF4-FFF2-40B4-BE49-F238E27FC236}">
                  <a16:creationId xmlns:a16="http://schemas.microsoft.com/office/drawing/2014/main" id="{B19E9432-803E-EDF7-05D0-3532D70754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1640C">
        <w:rPr>
          <w:rFonts w:ascii="Times New Roman" w:hAnsi="Times New Roman" w:cs="Times New Roman"/>
          <w:i/>
          <w:iCs/>
        </w:rPr>
        <w:t xml:space="preserve">  </w:t>
      </w:r>
    </w:p>
    <w:p w14:paraId="676B6E40" w14:textId="77777777" w:rsidR="006F68B8" w:rsidRPr="00B1640C" w:rsidRDefault="006F68B8" w:rsidP="0078691C">
      <w:pPr>
        <w:spacing w:after="0" w:line="360" w:lineRule="auto"/>
        <w:jc w:val="both"/>
        <w:rPr>
          <w:rFonts w:ascii="Times New Roman" w:hAnsi="Times New Roman" w:cs="Times New Roman"/>
        </w:rPr>
      </w:pPr>
      <w:r w:rsidRPr="00B1640C">
        <w:rPr>
          <w:rFonts w:ascii="Times New Roman" w:hAnsi="Times New Roman" w:cs="Times New Roman"/>
        </w:rPr>
        <w:t>Rysunek 1. Skąd dowiedział/a się Pan/i o naborze wniosków w LGD (dane w % - możliwe było wskazanie wi</w:t>
      </w:r>
      <w:r w:rsidR="0078691C" w:rsidRPr="00B1640C">
        <w:rPr>
          <w:rFonts w:ascii="Times New Roman" w:hAnsi="Times New Roman" w:cs="Times New Roman"/>
        </w:rPr>
        <w:t>ę</w:t>
      </w:r>
      <w:r w:rsidRPr="00B1640C">
        <w:rPr>
          <w:rFonts w:ascii="Times New Roman" w:hAnsi="Times New Roman" w:cs="Times New Roman"/>
        </w:rPr>
        <w:t xml:space="preserve">cej niż jednej odpowiedzi). </w:t>
      </w:r>
    </w:p>
    <w:p w14:paraId="1F716D29" w14:textId="77777777" w:rsidR="006F68B8" w:rsidRPr="00B1640C" w:rsidRDefault="006F68B8" w:rsidP="0078691C">
      <w:pPr>
        <w:spacing w:after="0" w:line="360" w:lineRule="auto"/>
        <w:jc w:val="both"/>
        <w:rPr>
          <w:rFonts w:ascii="Times New Roman" w:hAnsi="Times New Roman" w:cs="Times New Roman"/>
          <w:i/>
          <w:iCs/>
        </w:rPr>
      </w:pPr>
      <w:bookmarkStart w:id="0" w:name="OLE_LINK6"/>
      <w:r w:rsidRPr="00B1640C">
        <w:rPr>
          <w:rFonts w:ascii="Times New Roman" w:hAnsi="Times New Roman" w:cs="Times New Roman"/>
          <w:i/>
          <w:iCs/>
        </w:rPr>
        <w:t xml:space="preserve">Źródło: Badania ankietowe wnioskodawców </w:t>
      </w:r>
    </w:p>
    <w:bookmarkEnd w:id="0"/>
    <w:p w14:paraId="5D75848D" w14:textId="77777777" w:rsidR="0078691C" w:rsidRPr="00B1640C" w:rsidRDefault="0078691C" w:rsidP="006F68B8">
      <w:pPr>
        <w:spacing w:line="360" w:lineRule="auto"/>
        <w:jc w:val="both"/>
        <w:rPr>
          <w:rFonts w:ascii="Times New Roman" w:hAnsi="Times New Roman" w:cs="Times New Roman"/>
        </w:rPr>
      </w:pPr>
    </w:p>
    <w:p w14:paraId="006AFA15"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rPr>
        <w:t xml:space="preserve">Podobne pytanie, aczkolwiek o bardziej ogólnym charakterze zostało skierowane w badaniu ankietowym skierowanym do ogółu mieszkańców obszaru LSR i dotyczyło znajomości Grupy oraz sposobu w jaki mieszkańcy dowiedzieli się o LGD. W kwestii podejmowanych przez Grupę działań zasadniczym pytaniem obrazujących skuteczność LGD w tym zakresie jest bowiem kwestia dotarcia do mieszkańców regionu. Miarą tego jest znajomość Grupy wśród mieszkańców – badania ankietowe tej grupy badanych wskazują, że prawie 91,21% badanych zna LGD i  słyszało o możliwościach otrzymania dofinansowania za pośrednictwem LGD Gmin Dobrzyńskich Region Południe – co jest wynikiem bardzo wysokim i samo w sobie obrazuje skuteczność działań podejmowanych przez Grupę.  Na pytanie o źródło wiedzy o LGD ankietowani wskazali przede wszystkim stronę internetową LGD (28,1%) oraz portale społecznościowe (20,8%) i bezpośrednie spotkania informacyjne z mieszkańcami (16,7%). Relatywnie mniej efektywne wydają się tradycyjne formy przekazu tj. ogłoszenia w prasie (4,2%), ogłoszenia w radio (6,3%) i broszury informacyjne (8,3%). Znaczna część badanych wskazywała także na inne źródła niż wskazane.    </w:t>
      </w:r>
    </w:p>
    <w:p w14:paraId="2308977A"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noProof/>
        </w:rPr>
        <w:lastRenderedPageBreak/>
        <w:drawing>
          <wp:inline distT="0" distB="0" distL="0" distR="0" wp14:anchorId="09B4A02B" wp14:editId="7171526E">
            <wp:extent cx="5760000" cy="2160000"/>
            <wp:effectExtent l="0" t="0" r="0" b="0"/>
            <wp:docPr id="1" name="Wykres 1">
              <a:extLst xmlns:a="http://schemas.openxmlformats.org/drawingml/2006/main">
                <a:ext uri="{FF2B5EF4-FFF2-40B4-BE49-F238E27FC236}">
                  <a16:creationId xmlns:a16="http://schemas.microsoft.com/office/drawing/2014/main" id="{261B442B-B025-2EEE-47AA-9E26B78D6D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A7DE5E" w14:textId="77777777" w:rsidR="006F68B8" w:rsidRPr="00B1640C" w:rsidRDefault="006F68B8" w:rsidP="00807492">
      <w:pPr>
        <w:spacing w:after="0" w:line="360" w:lineRule="auto"/>
        <w:jc w:val="both"/>
        <w:rPr>
          <w:rFonts w:ascii="Times New Roman" w:hAnsi="Times New Roman" w:cs="Times New Roman"/>
        </w:rPr>
      </w:pPr>
      <w:r w:rsidRPr="00B1640C">
        <w:rPr>
          <w:rFonts w:ascii="Times New Roman" w:hAnsi="Times New Roman" w:cs="Times New Roman"/>
        </w:rPr>
        <w:t xml:space="preserve">Rysunek 2. Skąd dowiedzieli się Państwo o takich możliwościach dofinansowania projektów za pośrednictwem LGD (dane w % - istniała możliwość wskazania więcej niż jednej odpowiedzi). </w:t>
      </w:r>
    </w:p>
    <w:p w14:paraId="120A8039" w14:textId="77777777" w:rsidR="006F68B8" w:rsidRPr="00B1640C" w:rsidRDefault="006F68B8" w:rsidP="00807492">
      <w:pPr>
        <w:spacing w:after="0" w:line="360" w:lineRule="auto"/>
        <w:jc w:val="both"/>
        <w:rPr>
          <w:rFonts w:ascii="Times New Roman" w:hAnsi="Times New Roman" w:cs="Times New Roman"/>
          <w:i/>
          <w:iCs/>
        </w:rPr>
      </w:pPr>
      <w:r w:rsidRPr="00B1640C">
        <w:rPr>
          <w:rFonts w:ascii="Times New Roman" w:hAnsi="Times New Roman" w:cs="Times New Roman"/>
          <w:i/>
          <w:iCs/>
        </w:rPr>
        <w:t xml:space="preserve">Źródło: Badania ankietowe mieszkańców </w:t>
      </w:r>
    </w:p>
    <w:p w14:paraId="37E5D227" w14:textId="77777777" w:rsidR="00807492" w:rsidRPr="00B1640C" w:rsidRDefault="00807492" w:rsidP="006F68B8">
      <w:pPr>
        <w:spacing w:line="360" w:lineRule="auto"/>
        <w:jc w:val="both"/>
        <w:rPr>
          <w:rFonts w:ascii="Times New Roman" w:hAnsi="Times New Roman" w:cs="Times New Roman"/>
        </w:rPr>
      </w:pPr>
    </w:p>
    <w:p w14:paraId="06BBF049"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rPr>
        <w:t xml:space="preserve">Wnioskodawców aplikujących o wsparcie w ramach wdrażania LSR zapytano także o korzystanie ze wsparcia ze strony LGD na etapie aplikowania o środki finansowe. Ponad 86% ankietowanych wskazało, że korzystało z pomocy Grupy przed złożeniem wniosku o dofinansowanie. Spośród tych osób ponad 90% ocenia dobrze lub zdecydowanie dobrze wsparcie udzielone przez LGD, w tym ponad 75% oceniało to wsparcie zdecydowanie dobrze. Należy przy tym wskazać, że żadna z ankietowanych osób nie udzieliła na tak postawione pytanie odpowiedzi negatywnej (wnioskodawcy mieli także do wyboru odpowiedzi negatywne „Źle” lub „Bardzo źle”).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536"/>
        <w:gridCol w:w="4536"/>
      </w:tblGrid>
      <w:tr w:rsidR="006F68B8" w:rsidRPr="00B1640C" w14:paraId="155CE4EE" w14:textId="77777777" w:rsidTr="00D44658">
        <w:tc>
          <w:tcPr>
            <w:tcW w:w="3539" w:type="dxa"/>
          </w:tcPr>
          <w:p w14:paraId="72FDCEAC" w14:textId="77777777" w:rsidR="006F68B8" w:rsidRPr="00B1640C" w:rsidRDefault="006F68B8" w:rsidP="006F68B8">
            <w:pPr>
              <w:spacing w:after="160" w:line="360" w:lineRule="auto"/>
              <w:jc w:val="both"/>
              <w:rPr>
                <w:rFonts w:ascii="Times New Roman" w:hAnsi="Times New Roman" w:cs="Times New Roman"/>
                <w:sz w:val="22"/>
                <w:szCs w:val="22"/>
              </w:rPr>
            </w:pPr>
            <w:r w:rsidRPr="00B1640C">
              <w:rPr>
                <w:rFonts w:ascii="Times New Roman" w:hAnsi="Times New Roman" w:cs="Times New Roman"/>
                <w:noProof/>
              </w:rPr>
              <w:drawing>
                <wp:inline distT="0" distB="0" distL="0" distR="0" wp14:anchorId="23744ABC" wp14:editId="3F63E30B">
                  <wp:extent cx="2880000" cy="1800000"/>
                  <wp:effectExtent l="0" t="0" r="0" b="0"/>
                  <wp:docPr id="21" name="Wykres 21">
                    <a:extLst xmlns:a="http://schemas.openxmlformats.org/drawingml/2006/main">
                      <a:ext uri="{FF2B5EF4-FFF2-40B4-BE49-F238E27FC236}">
                        <a16:creationId xmlns:a16="http://schemas.microsoft.com/office/drawing/2014/main" id="{F2982F27-36FD-604E-B18F-BC49F18F55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525" w:type="dxa"/>
          </w:tcPr>
          <w:p w14:paraId="0DEE987E" w14:textId="77777777" w:rsidR="006F68B8" w:rsidRPr="00B1640C" w:rsidRDefault="006F68B8" w:rsidP="006F68B8">
            <w:pPr>
              <w:spacing w:after="160" w:line="360" w:lineRule="auto"/>
              <w:jc w:val="both"/>
              <w:rPr>
                <w:rFonts w:ascii="Times New Roman" w:hAnsi="Times New Roman" w:cs="Times New Roman"/>
                <w:sz w:val="22"/>
                <w:szCs w:val="22"/>
              </w:rPr>
            </w:pPr>
            <w:r w:rsidRPr="00B1640C">
              <w:rPr>
                <w:rFonts w:ascii="Times New Roman" w:hAnsi="Times New Roman" w:cs="Times New Roman"/>
                <w:noProof/>
              </w:rPr>
              <w:drawing>
                <wp:inline distT="0" distB="0" distL="0" distR="0" wp14:anchorId="7609E12E" wp14:editId="741086C9">
                  <wp:extent cx="2880000" cy="1800000"/>
                  <wp:effectExtent l="0" t="0" r="0" b="0"/>
                  <wp:docPr id="24" name="Wykres 24">
                    <a:extLst xmlns:a="http://schemas.openxmlformats.org/drawingml/2006/main">
                      <a:ext uri="{FF2B5EF4-FFF2-40B4-BE49-F238E27FC236}">
                        <a16:creationId xmlns:a16="http://schemas.microsoft.com/office/drawing/2014/main" id="{3BDD16A9-B5E5-0043-9994-2F0723A764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6F68B8" w:rsidRPr="00B1640C" w14:paraId="7F4A3DEC" w14:textId="77777777" w:rsidTr="00D44658">
        <w:tblPrEx>
          <w:tblCellMar>
            <w:left w:w="108" w:type="dxa"/>
            <w:right w:w="108" w:type="dxa"/>
          </w:tblCellMar>
        </w:tblPrEx>
        <w:tc>
          <w:tcPr>
            <w:tcW w:w="3539" w:type="dxa"/>
          </w:tcPr>
          <w:p w14:paraId="27C7390F" w14:textId="77777777" w:rsidR="006F68B8" w:rsidRPr="00B1640C" w:rsidRDefault="006F68B8" w:rsidP="006F68B8">
            <w:pPr>
              <w:spacing w:after="160" w:line="360" w:lineRule="auto"/>
              <w:jc w:val="both"/>
              <w:rPr>
                <w:rFonts w:ascii="Times New Roman" w:hAnsi="Times New Roman" w:cs="Times New Roman"/>
                <w:sz w:val="22"/>
                <w:szCs w:val="22"/>
              </w:rPr>
            </w:pPr>
            <w:r w:rsidRPr="00B1640C">
              <w:rPr>
                <w:rFonts w:ascii="Times New Roman" w:hAnsi="Times New Roman" w:cs="Times New Roman"/>
                <w:sz w:val="22"/>
                <w:szCs w:val="22"/>
              </w:rPr>
              <w:t xml:space="preserve">Rysunek </w:t>
            </w:r>
            <w:r w:rsidR="00650722">
              <w:rPr>
                <w:rFonts w:ascii="Times New Roman" w:hAnsi="Times New Roman" w:cs="Times New Roman"/>
                <w:sz w:val="22"/>
                <w:szCs w:val="22"/>
              </w:rPr>
              <w:t>3</w:t>
            </w:r>
            <w:r w:rsidRPr="00B1640C">
              <w:rPr>
                <w:rFonts w:ascii="Times New Roman" w:hAnsi="Times New Roman" w:cs="Times New Roman"/>
                <w:sz w:val="22"/>
                <w:szCs w:val="22"/>
              </w:rPr>
              <w:t>. Czy na etapie składania wniosku korzystał/a Pan/i z jakiejś formy wsparcia ze strony LGD?</w:t>
            </w:r>
          </w:p>
        </w:tc>
        <w:tc>
          <w:tcPr>
            <w:tcW w:w="5525" w:type="dxa"/>
          </w:tcPr>
          <w:p w14:paraId="20E4A993" w14:textId="77777777" w:rsidR="006F68B8" w:rsidRPr="00B1640C" w:rsidRDefault="006F68B8" w:rsidP="006F68B8">
            <w:pPr>
              <w:spacing w:after="160" w:line="360" w:lineRule="auto"/>
              <w:jc w:val="both"/>
              <w:rPr>
                <w:rFonts w:ascii="Times New Roman" w:hAnsi="Times New Roman" w:cs="Times New Roman"/>
                <w:sz w:val="22"/>
                <w:szCs w:val="22"/>
              </w:rPr>
            </w:pPr>
            <w:r w:rsidRPr="00B1640C">
              <w:rPr>
                <w:rFonts w:ascii="Times New Roman" w:hAnsi="Times New Roman" w:cs="Times New Roman"/>
                <w:sz w:val="22"/>
                <w:szCs w:val="22"/>
              </w:rPr>
              <w:t xml:space="preserve">Rysunek </w:t>
            </w:r>
            <w:r w:rsidR="00650722">
              <w:rPr>
                <w:rFonts w:ascii="Times New Roman" w:hAnsi="Times New Roman" w:cs="Times New Roman"/>
                <w:sz w:val="22"/>
                <w:szCs w:val="22"/>
              </w:rPr>
              <w:t>4</w:t>
            </w:r>
            <w:r w:rsidRPr="00B1640C">
              <w:rPr>
                <w:rFonts w:ascii="Times New Roman" w:hAnsi="Times New Roman" w:cs="Times New Roman"/>
                <w:sz w:val="22"/>
                <w:szCs w:val="22"/>
              </w:rPr>
              <w:t>. Jak ocenia Pan/i wsparcie udzielone przez LGD na etapie składania wniosku?</w:t>
            </w:r>
          </w:p>
        </w:tc>
      </w:tr>
      <w:tr w:rsidR="006F68B8" w:rsidRPr="00B1640C" w14:paraId="6ABB8FC3" w14:textId="77777777" w:rsidTr="00D44658">
        <w:tblPrEx>
          <w:tblCellMar>
            <w:left w:w="108" w:type="dxa"/>
            <w:right w:w="108" w:type="dxa"/>
          </w:tblCellMar>
        </w:tblPrEx>
        <w:tc>
          <w:tcPr>
            <w:tcW w:w="9064" w:type="dxa"/>
            <w:gridSpan w:val="2"/>
          </w:tcPr>
          <w:p w14:paraId="5E36788D" w14:textId="77777777" w:rsidR="006F68B8" w:rsidRPr="00B1640C" w:rsidRDefault="006F68B8" w:rsidP="006F68B8">
            <w:pPr>
              <w:spacing w:after="160" w:line="360" w:lineRule="auto"/>
              <w:jc w:val="both"/>
              <w:rPr>
                <w:rFonts w:ascii="Times New Roman" w:hAnsi="Times New Roman" w:cs="Times New Roman"/>
                <w:i/>
                <w:iCs/>
                <w:sz w:val="22"/>
                <w:szCs w:val="22"/>
              </w:rPr>
            </w:pPr>
            <w:r w:rsidRPr="00B1640C">
              <w:rPr>
                <w:rFonts w:ascii="Times New Roman" w:hAnsi="Times New Roman" w:cs="Times New Roman"/>
                <w:i/>
                <w:iCs/>
                <w:sz w:val="22"/>
                <w:szCs w:val="22"/>
              </w:rPr>
              <w:t xml:space="preserve">Źródło: Badania ankietowe wnioskodawców </w:t>
            </w:r>
          </w:p>
        </w:tc>
      </w:tr>
    </w:tbl>
    <w:p w14:paraId="3887242D"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rPr>
        <w:tab/>
      </w:r>
    </w:p>
    <w:p w14:paraId="3383A140"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rPr>
        <w:lastRenderedPageBreak/>
        <w:tab/>
        <w:t xml:space="preserve">Osoby i podmioty które otrzymały wsparcie odpowiedzieli także na pytanie czy w ich opinii współpraca z LGD miała wpływ na skuteczne aplikowanie o środki w ramach Programu. Także w tym przypadku zdecydowana większość ankietowanych tj. ponad 95% wskazała na odpowiedzi twierdzące, w tym większość (86%) na odpowiedź „Zdecydowanie tak”. W odpowiedzi na to pytanie 4,55% odpowiedzi wskazało natomiast, że pomoc ta nie miała raczej wpływu na skuteczność aplikowania o środki LSR (żaden z ankietowanych nie udzielił odpowiedzi „Zdecydowanie nie”). Statystyki te – potwierdzają regułę widoczną także w przypadku innych LGD – że korzystanie z pomocy Grupy na etapie aplikowania o środki, zarówno w formie szkoleń jak i bezpośredniego doradztwa, ma znaczący wpływ na prawdopodobieństwo otrzymania dofinansowania. Potwierdzają to także dane dotyczące struktury badanych - gdzie znacznie większy odsetek wnioskodawców korzystających ze wsparcia doradczo – szkoleniowego LGD występuje w grupie wnioskodawców, którzy otrzymali wsparcie finansowe w ramach ogłaszanych konkursów niż ma to miejsce w przypadku wnioskodawców, którzy takiego wsparcia nie uzyskali. Dane te potwierdzają wysoką efektywność działań Grupy w kwestii pomocy dla wnioskodawców, a jednocześnie stanowią wskazówkę, że korzystanie z pomocy Grupy jest jednym z elementów mogących znacznie zwiększyć szanse na otrzymanie dofinansowania.  </w:t>
      </w:r>
      <w:r w:rsidRPr="00B1640C">
        <w:rPr>
          <w:rFonts w:ascii="Times New Roman" w:hAnsi="Times New Roman" w:cs="Times New Roman"/>
        </w:rPr>
        <w:tab/>
      </w:r>
    </w:p>
    <w:p w14:paraId="5BCDD1FD"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noProof/>
        </w:rPr>
        <w:drawing>
          <wp:inline distT="0" distB="0" distL="0" distR="0" wp14:anchorId="390FCE92" wp14:editId="2E749321">
            <wp:extent cx="4572000" cy="1800000"/>
            <wp:effectExtent l="0" t="0" r="0" b="0"/>
            <wp:docPr id="29" name="Wykres 29">
              <a:extLst xmlns:a="http://schemas.openxmlformats.org/drawingml/2006/main">
                <a:ext uri="{FF2B5EF4-FFF2-40B4-BE49-F238E27FC236}">
                  <a16:creationId xmlns:a16="http://schemas.microsoft.com/office/drawing/2014/main" id="{5C237044-D2D3-1BC3-CFFE-D822A74F3D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FDCA87"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rPr>
        <w:t xml:space="preserve">Rysunek </w:t>
      </w:r>
      <w:r w:rsidR="00650722">
        <w:rPr>
          <w:rFonts w:ascii="Times New Roman" w:hAnsi="Times New Roman" w:cs="Times New Roman"/>
        </w:rPr>
        <w:t>5</w:t>
      </w:r>
      <w:r w:rsidRPr="00B1640C">
        <w:rPr>
          <w:rFonts w:ascii="Times New Roman" w:hAnsi="Times New Roman" w:cs="Times New Roman"/>
        </w:rPr>
        <w:t>. Proszę powiedzieć, czy współpraca z LGD miała wpływ na skuteczne aplikowanie w ramach Programu?</w:t>
      </w:r>
    </w:p>
    <w:p w14:paraId="004F5AF0" w14:textId="77777777" w:rsidR="006F68B8" w:rsidRPr="00B1640C" w:rsidRDefault="006F68B8" w:rsidP="006F68B8">
      <w:pPr>
        <w:spacing w:line="360" w:lineRule="auto"/>
        <w:jc w:val="both"/>
        <w:rPr>
          <w:rFonts w:ascii="Times New Roman" w:hAnsi="Times New Roman" w:cs="Times New Roman"/>
          <w:i/>
          <w:iCs/>
        </w:rPr>
      </w:pPr>
      <w:r w:rsidRPr="00B1640C">
        <w:rPr>
          <w:rFonts w:ascii="Times New Roman" w:hAnsi="Times New Roman" w:cs="Times New Roman"/>
          <w:i/>
          <w:iCs/>
        </w:rPr>
        <w:t xml:space="preserve">Źródło: Badania ankietowe wnioskodawców </w:t>
      </w:r>
    </w:p>
    <w:p w14:paraId="7F605E03"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rPr>
        <w:t xml:space="preserve">Ponieważ rola LGD nie kończy się na etapie wyboru operacji do realizacji, zapytano także beneficjentów wsparcia o ocenę pomocy udzielonej przez Grupę na etapie realizacji i rozliczenia projektu. W tym zakresie wyniki wskazują, że 100% (więcej nic na etapie aplikowania o środki) beneficjentów korzystało ze wsparcia ze strony Grupy. Z grupy, która korzystała z takiego wsparcia 83% korzystało z niego na etapie realizacji projektu a 17% na etapie jego rozliczania. Spośród wnioskodawców, którzy skorzystali z takiego wsparcia wszyscy oceniają  jakość wsparcia pozytywnie – znamienne jest ponownie, że żaden wnioskodawca nie wskazał w tym zakresie oceny negatywnej (bardzo źle lub źle) oraz oceny przeciętnej (przeciętnie). Statystyka ta wskazuje na bardzo dobrą ocenę wsparcia udzielanego przez LGD także na etapie realizacji i rozliczenia projektu.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534"/>
        <w:gridCol w:w="13"/>
        <w:gridCol w:w="4525"/>
      </w:tblGrid>
      <w:tr w:rsidR="006F68B8" w:rsidRPr="00B1640C" w14:paraId="6536B906" w14:textId="77777777" w:rsidTr="00D44658">
        <w:tc>
          <w:tcPr>
            <w:tcW w:w="4530" w:type="dxa"/>
          </w:tcPr>
          <w:p w14:paraId="2F038C1A" w14:textId="77777777" w:rsidR="006F68B8" w:rsidRPr="00B1640C" w:rsidRDefault="006F68B8" w:rsidP="006F68B8">
            <w:pPr>
              <w:spacing w:after="160" w:line="360" w:lineRule="auto"/>
              <w:jc w:val="both"/>
              <w:rPr>
                <w:rFonts w:ascii="Times New Roman" w:hAnsi="Times New Roman" w:cs="Times New Roman"/>
                <w:sz w:val="22"/>
                <w:szCs w:val="22"/>
              </w:rPr>
            </w:pPr>
            <w:r w:rsidRPr="00B1640C">
              <w:rPr>
                <w:rFonts w:ascii="Times New Roman" w:hAnsi="Times New Roman" w:cs="Times New Roman"/>
                <w:noProof/>
              </w:rPr>
              <w:lastRenderedPageBreak/>
              <w:drawing>
                <wp:inline distT="0" distB="0" distL="0" distR="0" wp14:anchorId="493D1588" wp14:editId="476FD341">
                  <wp:extent cx="2880000" cy="1800000"/>
                  <wp:effectExtent l="0" t="0" r="0" b="3810"/>
                  <wp:docPr id="32" name="Wykres 32">
                    <a:extLst xmlns:a="http://schemas.openxmlformats.org/drawingml/2006/main">
                      <a:ext uri="{FF2B5EF4-FFF2-40B4-BE49-F238E27FC236}">
                        <a16:creationId xmlns:a16="http://schemas.microsoft.com/office/drawing/2014/main" id="{905E2D12-BC38-3831-ECBD-E751ED21E6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34" w:type="dxa"/>
            <w:gridSpan w:val="2"/>
          </w:tcPr>
          <w:p w14:paraId="36228435" w14:textId="77777777" w:rsidR="006F68B8" w:rsidRPr="00B1640C" w:rsidRDefault="006F68B8" w:rsidP="006F68B8">
            <w:pPr>
              <w:spacing w:after="160" w:line="360" w:lineRule="auto"/>
              <w:jc w:val="both"/>
              <w:rPr>
                <w:rFonts w:ascii="Times New Roman" w:hAnsi="Times New Roman" w:cs="Times New Roman"/>
                <w:sz w:val="22"/>
                <w:szCs w:val="22"/>
              </w:rPr>
            </w:pPr>
            <w:r w:rsidRPr="00B1640C">
              <w:rPr>
                <w:rFonts w:ascii="Times New Roman" w:hAnsi="Times New Roman" w:cs="Times New Roman"/>
                <w:noProof/>
              </w:rPr>
              <w:drawing>
                <wp:inline distT="0" distB="0" distL="0" distR="0" wp14:anchorId="28083E14" wp14:editId="5F425A75">
                  <wp:extent cx="2880000" cy="1800000"/>
                  <wp:effectExtent l="0" t="0" r="0" b="0"/>
                  <wp:docPr id="31" name="Wykres 31">
                    <a:extLst xmlns:a="http://schemas.openxmlformats.org/drawingml/2006/main">
                      <a:ext uri="{FF2B5EF4-FFF2-40B4-BE49-F238E27FC236}">
                        <a16:creationId xmlns:a16="http://schemas.microsoft.com/office/drawing/2014/main" id="{6B2D42CF-258D-664A-AE7A-DACA5C3040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6F68B8" w:rsidRPr="00B1640C" w14:paraId="2B2C56A5" w14:textId="77777777" w:rsidTr="00D44658">
        <w:tblPrEx>
          <w:tblCellMar>
            <w:left w:w="108" w:type="dxa"/>
            <w:right w:w="108" w:type="dxa"/>
          </w:tblCellMar>
        </w:tblPrEx>
        <w:tc>
          <w:tcPr>
            <w:tcW w:w="4536" w:type="dxa"/>
            <w:gridSpan w:val="2"/>
          </w:tcPr>
          <w:p w14:paraId="7F64F7DD" w14:textId="77777777" w:rsidR="006F68B8" w:rsidRPr="00B1640C" w:rsidRDefault="006F68B8" w:rsidP="006F68B8">
            <w:pPr>
              <w:spacing w:after="160" w:line="360" w:lineRule="auto"/>
              <w:jc w:val="both"/>
              <w:rPr>
                <w:rFonts w:ascii="Times New Roman" w:hAnsi="Times New Roman" w:cs="Times New Roman"/>
                <w:sz w:val="22"/>
                <w:szCs w:val="22"/>
              </w:rPr>
            </w:pPr>
            <w:r w:rsidRPr="00B1640C">
              <w:rPr>
                <w:rFonts w:ascii="Times New Roman" w:hAnsi="Times New Roman" w:cs="Times New Roman"/>
                <w:sz w:val="22"/>
                <w:szCs w:val="22"/>
              </w:rPr>
              <w:t xml:space="preserve">Rysunek </w:t>
            </w:r>
            <w:r w:rsidR="00650722">
              <w:rPr>
                <w:rFonts w:ascii="Times New Roman" w:hAnsi="Times New Roman" w:cs="Times New Roman"/>
                <w:sz w:val="22"/>
                <w:szCs w:val="22"/>
              </w:rPr>
              <w:t>6</w:t>
            </w:r>
            <w:r w:rsidRPr="00B1640C">
              <w:rPr>
                <w:rFonts w:ascii="Times New Roman" w:hAnsi="Times New Roman" w:cs="Times New Roman"/>
                <w:sz w:val="22"/>
                <w:szCs w:val="22"/>
              </w:rPr>
              <w:t>. Czy na etapie realizacji lub rozliczania projektu korzystał/a Pan/i z jakiejś formy wsparcia ze strony LGD?</w:t>
            </w:r>
          </w:p>
        </w:tc>
        <w:tc>
          <w:tcPr>
            <w:tcW w:w="4528" w:type="dxa"/>
          </w:tcPr>
          <w:p w14:paraId="5F85CD92" w14:textId="77777777" w:rsidR="006F68B8" w:rsidRPr="00B1640C" w:rsidRDefault="006F68B8" w:rsidP="006F68B8">
            <w:pPr>
              <w:spacing w:after="160" w:line="360" w:lineRule="auto"/>
              <w:jc w:val="both"/>
              <w:rPr>
                <w:rFonts w:ascii="Times New Roman" w:hAnsi="Times New Roman" w:cs="Times New Roman"/>
                <w:sz w:val="22"/>
                <w:szCs w:val="22"/>
              </w:rPr>
            </w:pPr>
            <w:r w:rsidRPr="00B1640C">
              <w:rPr>
                <w:rFonts w:ascii="Times New Roman" w:hAnsi="Times New Roman" w:cs="Times New Roman"/>
                <w:sz w:val="22"/>
                <w:szCs w:val="22"/>
              </w:rPr>
              <w:t xml:space="preserve">Rysunek </w:t>
            </w:r>
            <w:r w:rsidR="00650722">
              <w:rPr>
                <w:rFonts w:ascii="Times New Roman" w:hAnsi="Times New Roman" w:cs="Times New Roman"/>
                <w:sz w:val="22"/>
                <w:szCs w:val="22"/>
              </w:rPr>
              <w:t>7</w:t>
            </w:r>
            <w:r w:rsidRPr="00B1640C">
              <w:rPr>
                <w:rFonts w:ascii="Times New Roman" w:hAnsi="Times New Roman" w:cs="Times New Roman"/>
                <w:sz w:val="22"/>
                <w:szCs w:val="22"/>
              </w:rPr>
              <w:t>. Jak ocenia Pan/i wsparcie udzielone przez LGD na etapie realizacji bądź rozliczania projektu?</w:t>
            </w:r>
          </w:p>
        </w:tc>
      </w:tr>
      <w:tr w:rsidR="006F68B8" w:rsidRPr="00B1640C" w14:paraId="575552CD" w14:textId="77777777" w:rsidTr="00D44658">
        <w:tblPrEx>
          <w:tblCellMar>
            <w:left w:w="108" w:type="dxa"/>
            <w:right w:w="108" w:type="dxa"/>
          </w:tblCellMar>
        </w:tblPrEx>
        <w:tc>
          <w:tcPr>
            <w:tcW w:w="9064" w:type="dxa"/>
            <w:gridSpan w:val="3"/>
          </w:tcPr>
          <w:p w14:paraId="5F04D467" w14:textId="77777777" w:rsidR="006F68B8" w:rsidRPr="00B1640C" w:rsidRDefault="006F68B8" w:rsidP="006F68B8">
            <w:pPr>
              <w:spacing w:after="160" w:line="360" w:lineRule="auto"/>
              <w:jc w:val="both"/>
              <w:rPr>
                <w:rFonts w:ascii="Times New Roman" w:hAnsi="Times New Roman" w:cs="Times New Roman"/>
                <w:i/>
                <w:iCs/>
                <w:sz w:val="22"/>
                <w:szCs w:val="22"/>
              </w:rPr>
            </w:pPr>
            <w:r w:rsidRPr="00B1640C">
              <w:rPr>
                <w:rFonts w:ascii="Times New Roman" w:hAnsi="Times New Roman" w:cs="Times New Roman"/>
                <w:i/>
                <w:iCs/>
                <w:sz w:val="22"/>
                <w:szCs w:val="22"/>
              </w:rPr>
              <w:t xml:space="preserve">Źródło: Badania ankietowe wnioskodawców </w:t>
            </w:r>
          </w:p>
        </w:tc>
      </w:tr>
    </w:tbl>
    <w:p w14:paraId="7F566513"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rPr>
        <w:t>Podsumowaniem odpowiedzi na powyższe pytanie jest wynik badań ankietowych wnioskodawców dotyczący ogólnej oceny działalności LGD jako podmiotu aktywizującego i integrującego lokalną społeczność – poniżej przedstawiono syntetyczne wyniki odpowiedzi na poszczególne pytania ankietowe w tym zakresie:</w:t>
      </w:r>
    </w:p>
    <w:p w14:paraId="30708B9B"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t xml:space="preserve">Jestem poinformowany o aktualnych działaniach LGD – ponad 82% ankietowanych zgadza się z tak postawionym stwierdzeniem, w tym niemal 69% zdecydowanie zgadza się z tym stwierdzeniem. Jednocześnie jednak pojawiają się głosy negatywne w tym zakresie – niemal 7% badanych wskazało, że raczej się nie zgadza, że jest informowana o aktualnych działaniach LGD, </w:t>
      </w:r>
    </w:p>
    <w:p w14:paraId="68A87CF7"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t xml:space="preserve">LGD dostarcza kompletnej i rzetelnej wiedzy potrzebnej do rozwiązania problemu – ponad 93% ankietowanych zgadza się z tym stwierdzaniem, w tym ponad 79% zgadza się w sposób zdecydowany. Jednocześnie nikt z badanych nie wskazał, że nie zgadza się z takim sformułowaniem, </w:t>
      </w:r>
    </w:p>
    <w:p w14:paraId="22CF10C2"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t xml:space="preserve">Pracownicy  biura  LGD  w  razie  problemów  szybko reagują i służą wsparciem – ponad 93% badanych zgodziło się z tym stwierdzeniem, w tym ponad 82% wskazało, że zdecydowanie się z nim zgadza. Jednocześnie charakterystyczne jest, że w odniesieniu do tego pytania jedynie 3,45% badanych udzieliło odpowiedzi negatywnej (pozostałe osoby zaznaczyły odpowiedź "trudno powiedzieć"), </w:t>
      </w:r>
    </w:p>
    <w:p w14:paraId="7CC2B412"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t xml:space="preserve">LGD jest otwarte na współpracę z innymi podmiotami – ponad 86% badanych potwierdziło słuszność tego stwierdzeniem, w tym niemal 58% oświadczyło, że zdecydowanie się z nim zgadza. Jednocześnie 3,45% wskazało, że raczej się nie zgadza z tak postawionym sformułowaniem, </w:t>
      </w:r>
    </w:p>
    <w:p w14:paraId="54830F53"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lastRenderedPageBreak/>
        <w:t xml:space="preserve">LGD pyta mieszkańców o ich potrzeby i konsultuje kierunki rozwoju obszaru, na którym działa – ponad 86% badanych zaznaczyło, że zgadza się z tak postawionym stwierdzeniem, w tym niemal 44% wskazało, że zdecydowanie się z nim zgadza. Jednocześnie nikt z badanych nie wskazał odpowiedź negatywnej w tym zakresie. Pytania to było natomiast pytaniem, w którym największy odsetek (13,79%) badanych wskazało odpowiedź „Trudno powiedzieć”, </w:t>
      </w:r>
    </w:p>
    <w:p w14:paraId="42EFB580"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t xml:space="preserve">Działalność LGD jest potrzebna – ponad 96% badanych potwierdziło zgodność z tak sformułowaną tezą, w tym ponad 82% wskazało, że zdecydowanie się z nią zgadza. Były to najwyższe odsetki wyników pozytywnych odnotowane w tej grupie pytań, co potwierdza, że efekty działalności Grupy są dostrzegane przez mieszkańców. Fakt, że żadna z ankietowanych osób nie zaznaczyła w tym kontekście odpowiedzi negatywnej (pozostali ankietowano odpowiedzieli „trudno powiedzieć”) podkreśla jednoznaczną ocenę potrzeby działalności Grupy w kontekście rozwiązywania problemów lokalnych. </w:t>
      </w:r>
    </w:p>
    <w:p w14:paraId="0112BAE2"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t xml:space="preserve">Bez LGD obszar rozwijałby się gorzej – także w tym przypadku ponad 93% odpowiadających potwierdziło zgodność z tak postawionym sformułowaniem, w tym niemal 72% wskazało, że zdecydowanie się z nim zgadza. Jednocześnie odnotowano 3,45% odpowiedzi negatywnych (pozostali ankietowani odpowiedzieli „trudno powiedzieć”), </w:t>
      </w:r>
    </w:p>
    <w:p w14:paraId="4698193D"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t xml:space="preserve">Widzę na obszarze gminy inwestycje i działania finansowane ze środków UE – ponad 96% badanych zgodziło się tak postawioną oceną sytuacji na terenie LGD, w tym 72% wskazało, że zdecydowanie się z nią zgadza. Było to drugie pytanie z najlepszym wynikiem wskazanym przez ankietowanych, co dowodzi, że operacja realizowane przy wsparciu środków UE są widoczne i doceniane przez mieszkańców, </w:t>
      </w:r>
    </w:p>
    <w:p w14:paraId="540D0849"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t xml:space="preserve">Dzięki LGD mieszkańcy są bardziej skłonni do podejmowania działań przedsiębiorczych – ponad 96% badanych wskazało, że zgadza się z tym sformułowaniem, w tym ponad 58% zaznaczyło że zgadza się z nim zdecydowanie. Był to ponownie najwyższy wynik ze wszystkich odpowiedzi zadanych w tym bloku pytań. Natomiast odnotowano w tym zakresie także 3,45% odpowiedzi negatywnych, </w:t>
      </w:r>
    </w:p>
    <w:p w14:paraId="1303B6A2"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t xml:space="preserve">Dzięki działalności LGD obszar (gmina) jest bardziej znany w okolicy – ponad 89% badanych zgodziło się z tak postawiona tezą, w tym równe 58% zgodziło się z nią w sposób zdecydowany. Liczby te wskazują na pozytywną ocenę działań promocyjnych Grupy w kontekście promowania i informowania o walorach i kreowania marki regionu na zewnątrz. W odpowiedzi na to sformułowanie stwierdzenie, jedynie 3,45% badanych wskazało odpowiedź negatywną, </w:t>
      </w:r>
    </w:p>
    <w:p w14:paraId="10821DBA"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t xml:space="preserve">Poprzez LSR mieszkańcy mogą mieć realny wpływ na to co dzieje się w ich najbliższym otoczeniu – ponad 86% badanych wskazało, że zgadza się z tym sformułowaniem, w tym ponad </w:t>
      </w:r>
      <w:r w:rsidRPr="00B1640C">
        <w:rPr>
          <w:rFonts w:ascii="Times New Roman" w:hAnsi="Times New Roman" w:cs="Times New Roman"/>
        </w:rPr>
        <w:lastRenderedPageBreak/>
        <w:t xml:space="preserve">51%, że zgadza się z nim w sposób zdecydowany. Jednocześnie jedynie niecałe 3% ankietowanych wyraziło negatywną opinię w tym zakresie, </w:t>
      </w:r>
    </w:p>
    <w:p w14:paraId="6ABB16E0" w14:textId="77777777" w:rsidR="006F68B8" w:rsidRPr="00B1640C" w:rsidRDefault="006F68B8" w:rsidP="006F68B8">
      <w:pPr>
        <w:numPr>
          <w:ilvl w:val="0"/>
          <w:numId w:val="2"/>
        </w:numPr>
        <w:spacing w:line="360" w:lineRule="auto"/>
        <w:jc w:val="both"/>
        <w:rPr>
          <w:rFonts w:ascii="Times New Roman" w:hAnsi="Times New Roman" w:cs="Times New Roman"/>
        </w:rPr>
      </w:pPr>
      <w:r w:rsidRPr="00B1640C">
        <w:rPr>
          <w:rFonts w:ascii="Times New Roman" w:hAnsi="Times New Roman" w:cs="Times New Roman"/>
        </w:rPr>
        <w:t xml:space="preserve">Mieszkańcy chcą, aby działania zrealizowane w ramach LSR były kontynuowane – na to kluczowe w kontekście zasadności przyszłej działalności Grupy pytanie, pozytywnie odpowiedziało ponad 93% badanych, z których ponad 62% wskazało odpowiedź „Zdecydowanie się zgadzam”. Jednocześnie żadna z osób nie wskazała negatywnej odpowiedzi na tak postawione pytanie. </w:t>
      </w:r>
    </w:p>
    <w:p w14:paraId="266972F5"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rPr>
        <w:t xml:space="preserve">Podsumowując należy wskazać, że biorąc pod uwagę wyniki tego bloku pytań skierowanych do wnioskodawców, najwyżej oceniana jest (najwięcej odpowiedzi pozytywnych) kwestia potrzeby kontynuowania działalności przez LGD, fakt, że bez LGD obszar rozwijałby się gorzej oraz widoczność na obszarze danej gminy inwestycji i działań finansowanych ze środków UE. Relatywnie najmniej korzystnie (najwięcej odpowiedzi negatywnych) ocenione zostało informowanie o bieżącej działalności Grupy. </w:t>
      </w:r>
    </w:p>
    <w:p w14:paraId="366BE3D7"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noProof/>
        </w:rPr>
        <w:drawing>
          <wp:inline distT="0" distB="0" distL="0" distR="0" wp14:anchorId="0F952880" wp14:editId="683F82DA">
            <wp:extent cx="5760000" cy="3600000"/>
            <wp:effectExtent l="0" t="0" r="0" b="0"/>
            <wp:docPr id="33" name="Wykres 33">
              <a:extLst xmlns:a="http://schemas.openxmlformats.org/drawingml/2006/main">
                <a:ext uri="{FF2B5EF4-FFF2-40B4-BE49-F238E27FC236}">
                  <a16:creationId xmlns:a16="http://schemas.microsoft.com/office/drawing/2014/main" id="{B35F7D3F-98E3-2640-5DFF-10A3F50E05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1089D7" w14:textId="77777777" w:rsidR="006F68B8" w:rsidRPr="00B1640C" w:rsidRDefault="006F68B8" w:rsidP="006F68B8">
      <w:pPr>
        <w:spacing w:line="360" w:lineRule="auto"/>
        <w:jc w:val="both"/>
        <w:rPr>
          <w:rFonts w:ascii="Times New Roman" w:hAnsi="Times New Roman" w:cs="Times New Roman"/>
        </w:rPr>
      </w:pPr>
      <w:r w:rsidRPr="00B1640C">
        <w:rPr>
          <w:rFonts w:ascii="Times New Roman" w:hAnsi="Times New Roman" w:cs="Times New Roman"/>
        </w:rPr>
        <w:t xml:space="preserve">Rysunek </w:t>
      </w:r>
      <w:r w:rsidR="00650722">
        <w:rPr>
          <w:rFonts w:ascii="Times New Roman" w:hAnsi="Times New Roman" w:cs="Times New Roman"/>
        </w:rPr>
        <w:t>8</w:t>
      </w:r>
      <w:r w:rsidRPr="00B1640C">
        <w:rPr>
          <w:rFonts w:ascii="Times New Roman" w:hAnsi="Times New Roman" w:cs="Times New Roman"/>
        </w:rPr>
        <w:t>. W jakim stopniu zgadza się Pan/i z następującymi stwierdzeniami? Proszę ocenić następujące kwestie.</w:t>
      </w:r>
    </w:p>
    <w:p w14:paraId="6984FC08" w14:textId="77777777" w:rsidR="006F68B8" w:rsidRPr="00B1640C" w:rsidRDefault="006F68B8" w:rsidP="006F68B8">
      <w:pPr>
        <w:spacing w:line="360" w:lineRule="auto"/>
        <w:jc w:val="both"/>
        <w:rPr>
          <w:rFonts w:ascii="Times New Roman" w:hAnsi="Times New Roman" w:cs="Times New Roman"/>
          <w:i/>
          <w:iCs/>
        </w:rPr>
      </w:pPr>
      <w:r w:rsidRPr="00B1640C">
        <w:rPr>
          <w:rFonts w:ascii="Times New Roman" w:hAnsi="Times New Roman" w:cs="Times New Roman"/>
          <w:i/>
          <w:iCs/>
        </w:rPr>
        <w:t xml:space="preserve">Źródło: Ankieta ankietowe wnioskodawców </w:t>
      </w:r>
    </w:p>
    <w:p w14:paraId="2DC5B392" w14:textId="77777777" w:rsidR="00650722" w:rsidRDefault="00650722" w:rsidP="00650722">
      <w:pPr>
        <w:spacing w:line="360" w:lineRule="auto"/>
        <w:jc w:val="both"/>
        <w:rPr>
          <w:rFonts w:ascii="Times New Roman" w:hAnsi="Times New Roman" w:cs="Times New Roman"/>
          <w:b/>
          <w:bCs/>
        </w:rPr>
      </w:pPr>
    </w:p>
    <w:p w14:paraId="1486BAC3" w14:textId="77777777" w:rsidR="00650722" w:rsidRPr="00650722" w:rsidRDefault="00650722" w:rsidP="00650722">
      <w:pPr>
        <w:spacing w:line="360" w:lineRule="auto"/>
        <w:jc w:val="both"/>
        <w:rPr>
          <w:rFonts w:ascii="Times New Roman" w:hAnsi="Times New Roman" w:cs="Times New Roman"/>
          <w:b/>
          <w:bCs/>
        </w:rPr>
      </w:pPr>
    </w:p>
    <w:p w14:paraId="0FB792B3" w14:textId="77777777" w:rsidR="0065793D" w:rsidRPr="00A534C8" w:rsidRDefault="0065793D" w:rsidP="00A534C8">
      <w:pPr>
        <w:pStyle w:val="Akapitzlist"/>
        <w:numPr>
          <w:ilvl w:val="0"/>
          <w:numId w:val="3"/>
        </w:numPr>
        <w:spacing w:line="360" w:lineRule="auto"/>
        <w:jc w:val="both"/>
        <w:rPr>
          <w:rFonts w:ascii="Times New Roman" w:hAnsi="Times New Roman" w:cs="Times New Roman"/>
          <w:b/>
          <w:bCs/>
        </w:rPr>
      </w:pPr>
      <w:r w:rsidRPr="00A534C8">
        <w:rPr>
          <w:rFonts w:ascii="Times New Roman" w:hAnsi="Times New Roman" w:cs="Times New Roman"/>
          <w:b/>
          <w:bCs/>
        </w:rPr>
        <w:lastRenderedPageBreak/>
        <w:t xml:space="preserve">DZIAŁANIA KOMUNIKACYJNE, ŚRODKI PRZEKAZU I </w:t>
      </w:r>
      <w:bookmarkStart w:id="1" w:name="_Hlk136891228"/>
      <w:r w:rsidRPr="00A534C8">
        <w:rPr>
          <w:rFonts w:ascii="Times New Roman" w:hAnsi="Times New Roman" w:cs="Times New Roman"/>
          <w:b/>
          <w:bCs/>
        </w:rPr>
        <w:t xml:space="preserve">GRUPY DOCELOWE </w:t>
      </w:r>
      <w:bookmarkEnd w:id="1"/>
    </w:p>
    <w:p w14:paraId="108397ED" w14:textId="77777777" w:rsidR="00181692" w:rsidRPr="00B1640C" w:rsidRDefault="00181692" w:rsidP="00F54854">
      <w:pPr>
        <w:spacing w:after="0" w:line="360" w:lineRule="auto"/>
        <w:jc w:val="both"/>
        <w:rPr>
          <w:rFonts w:ascii="Times New Roman" w:hAnsi="Times New Roman" w:cs="Times New Roman"/>
          <w:b/>
          <w:bCs/>
        </w:rPr>
      </w:pPr>
      <w:r w:rsidRPr="00B1640C">
        <w:rPr>
          <w:rFonts w:ascii="Times New Roman" w:hAnsi="Times New Roman" w:cs="Times New Roman"/>
          <w:b/>
          <w:bCs/>
        </w:rPr>
        <w:t>GRUPY DOCELOWE</w:t>
      </w:r>
    </w:p>
    <w:p w14:paraId="236809BC" w14:textId="77777777" w:rsidR="00F54854" w:rsidRPr="00B1640C" w:rsidRDefault="00F54854" w:rsidP="00F54854">
      <w:pPr>
        <w:spacing w:after="0" w:line="360" w:lineRule="auto"/>
        <w:jc w:val="both"/>
        <w:rPr>
          <w:rFonts w:ascii="Times New Roman" w:hAnsi="Times New Roman" w:cs="Times New Roman"/>
        </w:rPr>
      </w:pPr>
      <w:r w:rsidRPr="00B1640C">
        <w:rPr>
          <w:rFonts w:ascii="Times New Roman" w:hAnsi="Times New Roman" w:cs="Times New Roman"/>
        </w:rPr>
        <w:t xml:space="preserve">Grupami odbiorców działań komunikacyjnych są przedstawiciele sektorów publicznego, gospodarczego i społecznego. Z uwagi na główne założenia RLKS tj. podejście partnerskie, oddolność, tworzenie różnego rodzaju sieci, których celem jest pomoc w dzieleniu się doświadczeniami i przekazywanie wiedzy między interesariuszami a LGD, współpracę i partycypację niezbędne jest zapewnienie komunikacji z jak najszerszym gronem odbiorców zamieszkujących i działających na obszarze LSR. </w:t>
      </w:r>
    </w:p>
    <w:p w14:paraId="694A3255" w14:textId="77777777" w:rsidR="00F54854" w:rsidRPr="00B1640C" w:rsidRDefault="00F54854" w:rsidP="00F54854">
      <w:pPr>
        <w:spacing w:after="0" w:line="360" w:lineRule="auto"/>
        <w:jc w:val="both"/>
        <w:rPr>
          <w:rFonts w:ascii="Times New Roman" w:hAnsi="Times New Roman" w:cs="Times New Roman"/>
        </w:rPr>
      </w:pPr>
      <w:r w:rsidRPr="00B1640C">
        <w:rPr>
          <w:rFonts w:ascii="Times New Roman" w:hAnsi="Times New Roman" w:cs="Times New Roman"/>
        </w:rPr>
        <w:t>Stowarzyszenie Lokalna Grupa Działania Gmin Dobrzyńskich Region Południe zapewni komunikację z następującymi grupami docelowymi swoich działań:</w:t>
      </w:r>
    </w:p>
    <w:p w14:paraId="5E79DA31" w14:textId="77777777" w:rsidR="00F54854" w:rsidRPr="0036558F" w:rsidRDefault="00FA5406" w:rsidP="0036558F">
      <w:pPr>
        <w:pStyle w:val="Akapitzlist"/>
        <w:numPr>
          <w:ilvl w:val="0"/>
          <w:numId w:val="5"/>
        </w:numPr>
        <w:spacing w:after="0" w:line="360" w:lineRule="auto"/>
        <w:jc w:val="both"/>
        <w:rPr>
          <w:rFonts w:ascii="Times New Roman" w:hAnsi="Times New Roman" w:cs="Times New Roman"/>
        </w:rPr>
      </w:pPr>
      <w:r w:rsidRPr="0036558F">
        <w:rPr>
          <w:rFonts w:ascii="Times New Roman" w:hAnsi="Times New Roman" w:cs="Times New Roman"/>
        </w:rPr>
        <w:t>l</w:t>
      </w:r>
      <w:r w:rsidR="00F54854" w:rsidRPr="0036558F">
        <w:rPr>
          <w:rFonts w:ascii="Times New Roman" w:hAnsi="Times New Roman" w:cs="Times New Roman"/>
        </w:rPr>
        <w:t>okalni liderzy m.in. sołtysi, radni gminy, powiatu, województwa;</w:t>
      </w:r>
    </w:p>
    <w:p w14:paraId="03B4788C" w14:textId="77777777" w:rsidR="00F54854" w:rsidRPr="00B1640C" w:rsidRDefault="00F54854" w:rsidP="00F54854">
      <w:pPr>
        <w:pStyle w:val="Akapitzlist"/>
        <w:numPr>
          <w:ilvl w:val="0"/>
          <w:numId w:val="5"/>
        </w:numPr>
        <w:spacing w:after="0" w:line="360" w:lineRule="auto"/>
        <w:jc w:val="both"/>
        <w:rPr>
          <w:rFonts w:ascii="Times New Roman" w:hAnsi="Times New Roman" w:cs="Times New Roman"/>
        </w:rPr>
      </w:pPr>
      <w:r w:rsidRPr="00B1640C">
        <w:rPr>
          <w:rFonts w:ascii="Times New Roman" w:hAnsi="Times New Roman" w:cs="Times New Roman"/>
        </w:rPr>
        <w:t>instytucje kulturalne i/lub edukacyjne mające siedzibę na obszarze LSR m.in. biblioteki, domy kultury, teatry, szkoły, uniwersytety trzeciego wieku itp.;</w:t>
      </w:r>
    </w:p>
    <w:p w14:paraId="3D81582B" w14:textId="77777777" w:rsidR="00F54854" w:rsidRPr="00B1640C" w:rsidRDefault="00F54854" w:rsidP="00F54854">
      <w:pPr>
        <w:pStyle w:val="Akapitzlist"/>
        <w:numPr>
          <w:ilvl w:val="0"/>
          <w:numId w:val="5"/>
        </w:numPr>
        <w:spacing w:after="0" w:line="360" w:lineRule="auto"/>
        <w:jc w:val="both"/>
        <w:rPr>
          <w:rFonts w:ascii="Times New Roman" w:hAnsi="Times New Roman" w:cs="Times New Roman"/>
        </w:rPr>
      </w:pPr>
      <w:r w:rsidRPr="00B1640C">
        <w:rPr>
          <w:rFonts w:ascii="Times New Roman" w:hAnsi="Times New Roman" w:cs="Times New Roman"/>
        </w:rPr>
        <w:t>organizacje pozarządowe mające siedzibę na terenie objętym LSR (w szczególności skupiającymi młodzież i seniorów) m.in. koła gospodyń wiejskich, ochotnicze straże pożarne, kluby sportowe;</w:t>
      </w:r>
    </w:p>
    <w:p w14:paraId="26204423" w14:textId="77777777" w:rsidR="00F54854" w:rsidRPr="00B1640C" w:rsidRDefault="00F54854" w:rsidP="00F54854">
      <w:pPr>
        <w:pStyle w:val="Akapitzlist"/>
        <w:numPr>
          <w:ilvl w:val="0"/>
          <w:numId w:val="5"/>
        </w:numPr>
        <w:spacing w:after="0" w:line="360" w:lineRule="auto"/>
        <w:jc w:val="both"/>
        <w:rPr>
          <w:rFonts w:ascii="Times New Roman" w:hAnsi="Times New Roman" w:cs="Times New Roman"/>
        </w:rPr>
      </w:pPr>
      <w:r w:rsidRPr="00B1640C">
        <w:rPr>
          <w:rFonts w:ascii="Times New Roman" w:hAnsi="Times New Roman" w:cs="Times New Roman"/>
        </w:rPr>
        <w:t>instytucje działające na rzecz osób w niekorzystnej sytuacji społecznej m.in. ośrodki pomocy społecznej, parafie, warsztaty terapii zajęciowej itp.;</w:t>
      </w:r>
    </w:p>
    <w:p w14:paraId="3EE2B660" w14:textId="77777777" w:rsidR="00F54854" w:rsidRPr="00B1640C" w:rsidRDefault="00F54854" w:rsidP="00F54854">
      <w:pPr>
        <w:pStyle w:val="Akapitzlist"/>
        <w:numPr>
          <w:ilvl w:val="0"/>
          <w:numId w:val="5"/>
        </w:numPr>
        <w:spacing w:after="0" w:line="360" w:lineRule="auto"/>
        <w:jc w:val="both"/>
        <w:rPr>
          <w:rFonts w:ascii="Times New Roman" w:hAnsi="Times New Roman" w:cs="Times New Roman"/>
        </w:rPr>
      </w:pPr>
      <w:r w:rsidRPr="00B1640C">
        <w:rPr>
          <w:rFonts w:ascii="Times New Roman" w:hAnsi="Times New Roman" w:cs="Times New Roman"/>
        </w:rPr>
        <w:t>mieszkańcy obszaru LSR;</w:t>
      </w:r>
    </w:p>
    <w:p w14:paraId="1A7B5B8A" w14:textId="77777777" w:rsidR="00F54854" w:rsidRDefault="00F54854" w:rsidP="00F54854">
      <w:pPr>
        <w:pStyle w:val="Akapitzlist"/>
        <w:numPr>
          <w:ilvl w:val="0"/>
          <w:numId w:val="5"/>
        </w:numPr>
        <w:spacing w:after="0" w:line="360" w:lineRule="auto"/>
        <w:jc w:val="both"/>
        <w:rPr>
          <w:rFonts w:ascii="Times New Roman" w:hAnsi="Times New Roman" w:cs="Times New Roman"/>
        </w:rPr>
      </w:pPr>
      <w:r w:rsidRPr="00B1640C">
        <w:rPr>
          <w:rFonts w:ascii="Times New Roman" w:hAnsi="Times New Roman" w:cs="Times New Roman"/>
        </w:rPr>
        <w:t>przedsiębiorcy mający siedzibę lub oddział na obszarze objętym LSR</w:t>
      </w:r>
    </w:p>
    <w:p w14:paraId="09738EBC" w14:textId="77777777" w:rsidR="00314A4B" w:rsidRPr="00B1640C" w:rsidRDefault="00314A4B" w:rsidP="00F54854">
      <w:pPr>
        <w:pStyle w:val="Akapitzlist"/>
        <w:numPr>
          <w:ilvl w:val="0"/>
          <w:numId w:val="5"/>
        </w:numPr>
        <w:spacing w:after="0" w:line="360" w:lineRule="auto"/>
        <w:jc w:val="both"/>
        <w:rPr>
          <w:rFonts w:ascii="Times New Roman" w:hAnsi="Times New Roman" w:cs="Times New Roman"/>
        </w:rPr>
      </w:pPr>
      <w:r>
        <w:rPr>
          <w:rFonts w:ascii="Times New Roman" w:hAnsi="Times New Roman" w:cs="Times New Roman"/>
        </w:rPr>
        <w:t>osoby w niekorzystnej sytuacji: osoby poszukujące pracy i kobiety</w:t>
      </w:r>
    </w:p>
    <w:p w14:paraId="31376E5B" w14:textId="77777777" w:rsidR="000864E7" w:rsidRPr="00B1640C" w:rsidRDefault="000864E7" w:rsidP="0065793D">
      <w:pPr>
        <w:spacing w:line="360" w:lineRule="auto"/>
        <w:jc w:val="both"/>
        <w:rPr>
          <w:rFonts w:ascii="Times New Roman" w:hAnsi="Times New Roman" w:cs="Times New Roman"/>
          <w:b/>
          <w:bCs/>
        </w:rPr>
      </w:pPr>
    </w:p>
    <w:p w14:paraId="36916B68" w14:textId="77777777" w:rsidR="000864E7" w:rsidRPr="00B1640C" w:rsidRDefault="0065793D" w:rsidP="000864E7">
      <w:pPr>
        <w:spacing w:after="0" w:line="360" w:lineRule="auto"/>
        <w:jc w:val="both"/>
        <w:rPr>
          <w:rFonts w:ascii="Times New Roman" w:hAnsi="Times New Roman" w:cs="Times New Roman"/>
          <w:b/>
          <w:bCs/>
        </w:rPr>
      </w:pPr>
      <w:r w:rsidRPr="00B1640C">
        <w:rPr>
          <w:rFonts w:ascii="Times New Roman" w:hAnsi="Times New Roman" w:cs="Times New Roman"/>
          <w:b/>
          <w:bCs/>
        </w:rPr>
        <w:t>DZIAŁANIA KOMUNIKACYJNE I ŚRODKI PRZEKAZU</w:t>
      </w:r>
    </w:p>
    <w:p w14:paraId="03D2402A" w14:textId="7BB35711" w:rsidR="0065793D" w:rsidRPr="00B1640C" w:rsidRDefault="0065793D" w:rsidP="000864E7">
      <w:pPr>
        <w:spacing w:after="0" w:line="360" w:lineRule="auto"/>
        <w:jc w:val="both"/>
        <w:rPr>
          <w:rFonts w:ascii="Times New Roman" w:hAnsi="Times New Roman" w:cs="Times New Roman"/>
          <w:b/>
          <w:bCs/>
        </w:rPr>
      </w:pPr>
      <w:r w:rsidRPr="00B1640C">
        <w:rPr>
          <w:rFonts w:ascii="Times New Roman" w:hAnsi="Times New Roman" w:cs="Times New Roman"/>
        </w:rPr>
        <w:t>Działania komunikacyjne i odpowiadające im środki przekazu (narzędzia) uwzględniają różnorodne rozwiązania komunikacyjne, które należy dostosować do odpowiedniej grupy odbiorców. Obszar objęty interwencją obejmuje 10 gmin, w tym 17</w:t>
      </w:r>
      <w:r w:rsidR="00472604">
        <w:rPr>
          <w:rFonts w:ascii="Times New Roman" w:hAnsi="Times New Roman" w:cs="Times New Roman"/>
        </w:rPr>
        <w:t>5</w:t>
      </w:r>
      <w:r w:rsidRPr="00B1640C">
        <w:rPr>
          <w:rFonts w:ascii="Times New Roman" w:hAnsi="Times New Roman" w:cs="Times New Roman"/>
        </w:rPr>
        <w:t xml:space="preserve"> sołectw – to właśnie na tym obszarze zostaną zintensyfikowane działania komunikacyjne. Kampania promująca Lokalną Strategię Rozwoju składa się z dwóch typów działań komunikacyjnych przebiegających równolegle:</w:t>
      </w:r>
    </w:p>
    <w:p w14:paraId="33F43465" w14:textId="77777777" w:rsidR="0065793D" w:rsidRPr="00B1640C" w:rsidRDefault="0065793D" w:rsidP="0065793D">
      <w:pPr>
        <w:pStyle w:val="Akapitzlist"/>
        <w:numPr>
          <w:ilvl w:val="0"/>
          <w:numId w:val="4"/>
        </w:numPr>
        <w:spacing w:after="0" w:line="360" w:lineRule="auto"/>
        <w:jc w:val="both"/>
        <w:rPr>
          <w:rFonts w:ascii="Times New Roman" w:hAnsi="Times New Roman" w:cs="Times New Roman"/>
        </w:rPr>
      </w:pPr>
      <w:r w:rsidRPr="00B1640C">
        <w:rPr>
          <w:rFonts w:ascii="Times New Roman" w:hAnsi="Times New Roman" w:cs="Times New Roman"/>
        </w:rPr>
        <w:t>informowania potencjalnych beneficjentów o możliwościach skorzystania ze środków UE;</w:t>
      </w:r>
    </w:p>
    <w:p w14:paraId="3A8AD5D1" w14:textId="77777777" w:rsidR="0065793D" w:rsidRPr="00B1640C" w:rsidRDefault="0065793D" w:rsidP="0065793D">
      <w:pPr>
        <w:pStyle w:val="Akapitzlist"/>
        <w:numPr>
          <w:ilvl w:val="0"/>
          <w:numId w:val="4"/>
        </w:numPr>
        <w:spacing w:line="360" w:lineRule="auto"/>
        <w:jc w:val="both"/>
        <w:rPr>
          <w:rFonts w:ascii="Times New Roman" w:hAnsi="Times New Roman" w:cs="Times New Roman"/>
        </w:rPr>
      </w:pPr>
      <w:r w:rsidRPr="00B1640C">
        <w:rPr>
          <w:rFonts w:ascii="Times New Roman" w:hAnsi="Times New Roman" w:cs="Times New Roman"/>
        </w:rPr>
        <w:t>promowania wśród ogółu lokalnej społeczności Funduszy Europejskich jako marki, ze szczególnym uwzględnieniem upowszechniania dotychczasowych efektów realizowanych inwestycji.</w:t>
      </w:r>
    </w:p>
    <w:p w14:paraId="7B398592" w14:textId="77777777" w:rsidR="000864E7" w:rsidRPr="00B1640C" w:rsidRDefault="000864E7" w:rsidP="000864E7">
      <w:pPr>
        <w:spacing w:line="360" w:lineRule="auto"/>
        <w:jc w:val="both"/>
        <w:rPr>
          <w:rFonts w:ascii="Times New Roman" w:hAnsi="Times New Roman" w:cs="Times New Roman"/>
        </w:rPr>
      </w:pPr>
      <w:r w:rsidRPr="00B1640C">
        <w:rPr>
          <w:rFonts w:ascii="Times New Roman" w:hAnsi="Times New Roman" w:cs="Times New Roman"/>
        </w:rPr>
        <w:t>Na kampanię informacyjną, skierowaną głównie do potencjalnych beneficjentów – projektodawców, składać się będą:</w:t>
      </w:r>
    </w:p>
    <w:p w14:paraId="68C6194A" w14:textId="728F9C7C" w:rsidR="00272A0E" w:rsidRPr="00B1640C" w:rsidRDefault="00666508" w:rsidP="000864E7">
      <w:pPr>
        <w:pStyle w:val="Akapitzlist"/>
        <w:numPr>
          <w:ilvl w:val="0"/>
          <w:numId w:val="6"/>
        </w:numPr>
        <w:spacing w:line="360" w:lineRule="auto"/>
        <w:jc w:val="both"/>
        <w:rPr>
          <w:rFonts w:ascii="Times New Roman" w:hAnsi="Times New Roman" w:cs="Times New Roman"/>
        </w:rPr>
      </w:pPr>
      <w:r w:rsidRPr="00B1640C">
        <w:rPr>
          <w:rFonts w:ascii="Times New Roman" w:hAnsi="Times New Roman" w:cs="Times New Roman"/>
        </w:rPr>
        <w:lastRenderedPageBreak/>
        <w:t>F</w:t>
      </w:r>
      <w:r w:rsidR="000864E7" w:rsidRPr="00B1640C">
        <w:rPr>
          <w:rFonts w:ascii="Times New Roman" w:hAnsi="Times New Roman" w:cs="Times New Roman"/>
        </w:rPr>
        <w:t>unkcjonowanie strony internetowej – prezentacja materiałów o treści informacyjnej, w tym zgodnie ze stworzonym i przekazanym przez Zarząd Województwa Kujawsko-Pomorskiego interfejsem</w:t>
      </w:r>
      <w:r w:rsidR="00395771">
        <w:rPr>
          <w:rFonts w:ascii="Times New Roman" w:hAnsi="Times New Roman" w:cs="Times New Roman"/>
        </w:rPr>
        <w:t xml:space="preserve"> (layoutem)</w:t>
      </w:r>
      <w:r w:rsidR="000864E7" w:rsidRPr="00B1640C">
        <w:rPr>
          <w:rFonts w:ascii="Times New Roman" w:hAnsi="Times New Roman" w:cs="Times New Roman"/>
        </w:rPr>
        <w:t xml:space="preserve"> oraz bieżąca jej aktualizacja</w:t>
      </w:r>
      <w:r w:rsidR="00EE5B2D" w:rsidRPr="00B1640C">
        <w:rPr>
          <w:rFonts w:ascii="Times New Roman" w:hAnsi="Times New Roman" w:cs="Times New Roman"/>
        </w:rPr>
        <w:t>, co pozwoli:</w:t>
      </w:r>
    </w:p>
    <w:p w14:paraId="12C5116A" w14:textId="77777777" w:rsidR="00EE5B2D" w:rsidRPr="00B1640C" w:rsidRDefault="00EE5B2D" w:rsidP="00EE5B2D">
      <w:pPr>
        <w:pStyle w:val="Akapitzlist"/>
        <w:numPr>
          <w:ilvl w:val="0"/>
          <w:numId w:val="11"/>
        </w:numPr>
        <w:spacing w:line="360" w:lineRule="auto"/>
        <w:rPr>
          <w:rFonts w:ascii="Times New Roman" w:hAnsi="Times New Roman" w:cs="Times New Roman"/>
        </w:rPr>
      </w:pPr>
      <w:r w:rsidRPr="00B1640C">
        <w:rPr>
          <w:rFonts w:ascii="Times New Roman" w:hAnsi="Times New Roman" w:cs="Times New Roman"/>
        </w:rPr>
        <w:t>zapewnić dostęp do informacji o aktualnym harmonogramie naborów oraz wynikach już przeprowadzonych, jak również informacji o wszystkich zrealizowanych projektach w zakresie LSR</w:t>
      </w:r>
      <w:r w:rsidR="0036558F">
        <w:rPr>
          <w:rFonts w:ascii="Times New Roman" w:hAnsi="Times New Roman" w:cs="Times New Roman"/>
        </w:rPr>
        <w:t xml:space="preserve"> </w:t>
      </w:r>
      <w:r w:rsidRPr="00B1640C">
        <w:rPr>
          <w:rFonts w:ascii="Times New Roman" w:hAnsi="Times New Roman" w:cs="Times New Roman"/>
        </w:rPr>
        <w:t xml:space="preserve">w ramach Europejskiego Funduszu Społecznego Plus (dalej EFS+) wraz z relacją zdjęciową. </w:t>
      </w:r>
    </w:p>
    <w:p w14:paraId="2D39C7B5" w14:textId="77777777" w:rsidR="00EE5B2D" w:rsidRPr="00B1640C" w:rsidRDefault="00EE5B2D" w:rsidP="00EE5B2D">
      <w:pPr>
        <w:pStyle w:val="Akapitzlist"/>
        <w:numPr>
          <w:ilvl w:val="0"/>
          <w:numId w:val="11"/>
        </w:numPr>
        <w:spacing w:line="360" w:lineRule="auto"/>
        <w:rPr>
          <w:rFonts w:ascii="Times New Roman" w:hAnsi="Times New Roman" w:cs="Times New Roman"/>
        </w:rPr>
      </w:pPr>
      <w:r w:rsidRPr="00B1640C">
        <w:rPr>
          <w:rFonts w:ascii="Times New Roman" w:hAnsi="Times New Roman" w:cs="Times New Roman"/>
        </w:rPr>
        <w:t>udostępnić do 30 czerwca roczne sprawozdanie z wdrażania LSR za poprzedni rok</w:t>
      </w:r>
      <w:r w:rsidR="0036558F">
        <w:rPr>
          <w:rFonts w:ascii="Times New Roman" w:hAnsi="Times New Roman" w:cs="Times New Roman"/>
        </w:rPr>
        <w:t xml:space="preserve"> </w:t>
      </w:r>
      <w:r w:rsidRPr="00B1640C">
        <w:rPr>
          <w:rFonts w:ascii="Times New Roman" w:hAnsi="Times New Roman" w:cs="Times New Roman"/>
        </w:rPr>
        <w:t>zawierające następujące informacje dotyczące:</w:t>
      </w:r>
    </w:p>
    <w:p w14:paraId="1CAF2713" w14:textId="77777777" w:rsidR="00EE5B2D" w:rsidRPr="00B1640C" w:rsidRDefault="00EE5B2D" w:rsidP="00EE5B2D">
      <w:pPr>
        <w:pStyle w:val="Akapitzlist"/>
        <w:numPr>
          <w:ilvl w:val="0"/>
          <w:numId w:val="9"/>
        </w:numPr>
        <w:spacing w:line="360" w:lineRule="auto"/>
        <w:rPr>
          <w:rFonts w:ascii="Times New Roman" w:hAnsi="Times New Roman" w:cs="Times New Roman"/>
        </w:rPr>
      </w:pPr>
      <w:r w:rsidRPr="00B1640C">
        <w:rPr>
          <w:rFonts w:ascii="Times New Roman" w:hAnsi="Times New Roman" w:cs="Times New Roman"/>
        </w:rPr>
        <w:t>stanu wdrażania LSR:</w:t>
      </w:r>
    </w:p>
    <w:p w14:paraId="067ABFD9" w14:textId="77777777" w:rsidR="00EE5B2D" w:rsidRPr="00B1640C" w:rsidRDefault="00EE5B2D" w:rsidP="00EE5B2D">
      <w:pPr>
        <w:pStyle w:val="Akapitzlist"/>
        <w:numPr>
          <w:ilvl w:val="0"/>
          <w:numId w:val="10"/>
        </w:numPr>
        <w:spacing w:line="360" w:lineRule="auto"/>
        <w:rPr>
          <w:rFonts w:ascii="Times New Roman" w:hAnsi="Times New Roman" w:cs="Times New Roman"/>
        </w:rPr>
      </w:pPr>
      <w:r w:rsidRPr="00B1640C">
        <w:rPr>
          <w:rFonts w:ascii="Times New Roman" w:hAnsi="Times New Roman" w:cs="Times New Roman"/>
        </w:rPr>
        <w:t>listę projektów, które uzyskały wsparcie z budżetu LSR (lista projektów powinna uwzględniać dane wnioskodawcy, tytuł projektu, kwotę wsparcia, a w przypadku EFS+ miejsce realizacji projektu);</w:t>
      </w:r>
    </w:p>
    <w:p w14:paraId="2E1EA74C" w14:textId="3A4B2A6E" w:rsidR="00EE5B2D" w:rsidRDefault="00EE5B2D" w:rsidP="00EE5B2D">
      <w:pPr>
        <w:pStyle w:val="Akapitzlist"/>
        <w:numPr>
          <w:ilvl w:val="0"/>
          <w:numId w:val="10"/>
        </w:numPr>
        <w:spacing w:line="360" w:lineRule="auto"/>
        <w:rPr>
          <w:rFonts w:ascii="Times New Roman" w:hAnsi="Times New Roman" w:cs="Times New Roman"/>
        </w:rPr>
      </w:pPr>
      <w:r w:rsidRPr="00B1640C">
        <w:rPr>
          <w:rFonts w:ascii="Times New Roman" w:hAnsi="Times New Roman" w:cs="Times New Roman"/>
        </w:rPr>
        <w:t>informację o przeprowadzonych przez LGD szkoleniach, spotkaniach informacyjnych, konsultacjach i doradztwie w związku z przeprowadzonymi naborami</w:t>
      </w:r>
      <w:r w:rsidR="0036558F">
        <w:rPr>
          <w:rFonts w:ascii="Times New Roman" w:hAnsi="Times New Roman" w:cs="Times New Roman"/>
        </w:rPr>
        <w:t>;</w:t>
      </w:r>
    </w:p>
    <w:p w14:paraId="6904E2AD" w14:textId="2DCC82AD" w:rsidR="0036558F" w:rsidRPr="0036558F" w:rsidRDefault="0036558F" w:rsidP="0036558F">
      <w:pPr>
        <w:pStyle w:val="Akapitzlist"/>
        <w:spacing w:line="360" w:lineRule="auto"/>
        <w:rPr>
          <w:rFonts w:ascii="Times New Roman" w:hAnsi="Times New Roman" w:cs="Times New Roman"/>
        </w:rPr>
      </w:pPr>
      <w:r w:rsidRPr="0036558F">
        <w:rPr>
          <w:rFonts w:ascii="Times New Roman" w:hAnsi="Times New Roman" w:cs="Times New Roman"/>
        </w:rPr>
        <w:t>b)</w:t>
      </w:r>
      <w:r w:rsidRPr="0036558F">
        <w:rPr>
          <w:rFonts w:ascii="Times New Roman" w:hAnsi="Times New Roman" w:cs="Times New Roman"/>
        </w:rPr>
        <w:tab/>
        <w:t>prowadzonych przez LGD działań animacyjnych takich, jak</w:t>
      </w:r>
      <w:r>
        <w:rPr>
          <w:rFonts w:ascii="Times New Roman" w:hAnsi="Times New Roman" w:cs="Times New Roman"/>
        </w:rPr>
        <w:t xml:space="preserve"> </w:t>
      </w:r>
      <w:r w:rsidR="00AE3D60">
        <w:rPr>
          <w:rFonts w:ascii="Times New Roman" w:hAnsi="Times New Roman" w:cs="Times New Roman"/>
        </w:rPr>
        <w:t>np.</w:t>
      </w:r>
      <w:r w:rsidRPr="0036558F">
        <w:rPr>
          <w:rFonts w:ascii="Times New Roman" w:hAnsi="Times New Roman" w:cs="Times New Roman"/>
        </w:rPr>
        <w:t xml:space="preserve">: warsztaty i konkursy kulinarne, </w:t>
      </w:r>
      <w:r>
        <w:rPr>
          <w:rFonts w:ascii="Times New Roman" w:hAnsi="Times New Roman" w:cs="Times New Roman"/>
        </w:rPr>
        <w:t xml:space="preserve">konferencje </w:t>
      </w:r>
      <w:r w:rsidRPr="0036558F">
        <w:rPr>
          <w:rFonts w:ascii="Times New Roman" w:hAnsi="Times New Roman" w:cs="Times New Roman"/>
        </w:rPr>
        <w:t>itp.,  oraz realizowanych</w:t>
      </w:r>
      <w:r>
        <w:rPr>
          <w:rFonts w:ascii="Times New Roman" w:hAnsi="Times New Roman" w:cs="Times New Roman"/>
        </w:rPr>
        <w:t xml:space="preserve"> </w:t>
      </w:r>
      <w:r w:rsidRPr="0036558F">
        <w:rPr>
          <w:rFonts w:ascii="Times New Roman" w:hAnsi="Times New Roman" w:cs="Times New Roman"/>
        </w:rPr>
        <w:t>i współrealizowanych przez LGD projektach ze środków innych niż budżet LSR</w:t>
      </w:r>
      <w:r>
        <w:rPr>
          <w:rFonts w:ascii="Times New Roman" w:hAnsi="Times New Roman" w:cs="Times New Roman"/>
        </w:rPr>
        <w:t>;</w:t>
      </w:r>
    </w:p>
    <w:p w14:paraId="7B78FF67" w14:textId="77777777" w:rsidR="000864E7" w:rsidRPr="00B1640C" w:rsidRDefault="00666508" w:rsidP="000864E7">
      <w:pPr>
        <w:pStyle w:val="Akapitzlist"/>
        <w:numPr>
          <w:ilvl w:val="0"/>
          <w:numId w:val="6"/>
        </w:numPr>
        <w:spacing w:line="360" w:lineRule="auto"/>
        <w:jc w:val="both"/>
        <w:rPr>
          <w:rFonts w:ascii="Times New Roman" w:hAnsi="Times New Roman" w:cs="Times New Roman"/>
        </w:rPr>
      </w:pPr>
      <w:r w:rsidRPr="00B1640C">
        <w:rPr>
          <w:rFonts w:ascii="Times New Roman" w:hAnsi="Times New Roman" w:cs="Times New Roman"/>
        </w:rPr>
        <w:t>B</w:t>
      </w:r>
      <w:r w:rsidR="000864E7" w:rsidRPr="00B1640C">
        <w:rPr>
          <w:rFonts w:ascii="Times New Roman" w:hAnsi="Times New Roman" w:cs="Times New Roman"/>
        </w:rPr>
        <w:t>aza e-mail lokalnych liderów – m.in. sołtysów, radnych gmin, powiatu, województwa, instytucji kulturalnych i/ lub edukacyjnych mający siedzibę na obszarze LSR np. bibliotek, domów kultury, teatrów, szkół, uniwersytetów trzeciego wieku itp. - informowanie drogą elektroniczną o konkursach, konsultacjach społecznych i wydarzeniach organizowanych przez LGD;</w:t>
      </w:r>
    </w:p>
    <w:p w14:paraId="6BEB1C95" w14:textId="77777777" w:rsidR="000864E7" w:rsidRDefault="00666508" w:rsidP="000864E7">
      <w:pPr>
        <w:pStyle w:val="Akapitzlist"/>
        <w:numPr>
          <w:ilvl w:val="0"/>
          <w:numId w:val="6"/>
        </w:numPr>
        <w:spacing w:line="360" w:lineRule="auto"/>
        <w:jc w:val="both"/>
        <w:rPr>
          <w:rFonts w:ascii="Times New Roman" w:hAnsi="Times New Roman" w:cs="Times New Roman"/>
        </w:rPr>
      </w:pPr>
      <w:r w:rsidRPr="00B1640C">
        <w:rPr>
          <w:rFonts w:ascii="Times New Roman" w:hAnsi="Times New Roman" w:cs="Times New Roman"/>
        </w:rPr>
        <w:t>N</w:t>
      </w:r>
      <w:r w:rsidR="000864E7" w:rsidRPr="00B1640C">
        <w:rPr>
          <w:rFonts w:ascii="Times New Roman" w:hAnsi="Times New Roman" w:cs="Times New Roman"/>
        </w:rPr>
        <w:t>ewsletter – informowanie za pośrednictwem strony internetowej LGD o konkursach, konsultacjach społecznych i wydarzeniach organizowanych przez LGD;</w:t>
      </w:r>
    </w:p>
    <w:p w14:paraId="0D356A9F" w14:textId="7AD8C21E" w:rsidR="002869BD" w:rsidRDefault="002869BD" w:rsidP="000864E7">
      <w:pPr>
        <w:pStyle w:val="Akapitzlist"/>
        <w:numPr>
          <w:ilvl w:val="0"/>
          <w:numId w:val="6"/>
        </w:numPr>
        <w:spacing w:line="360" w:lineRule="auto"/>
        <w:jc w:val="both"/>
        <w:rPr>
          <w:rFonts w:ascii="Times New Roman" w:hAnsi="Times New Roman" w:cs="Times New Roman"/>
        </w:rPr>
      </w:pPr>
      <w:r>
        <w:rPr>
          <w:rFonts w:ascii="Times New Roman" w:hAnsi="Times New Roman" w:cs="Times New Roman"/>
        </w:rPr>
        <w:t xml:space="preserve">Otwarte wydarzenie </w:t>
      </w:r>
      <w:r w:rsidRPr="002869BD">
        <w:rPr>
          <w:rFonts w:ascii="Times New Roman" w:hAnsi="Times New Roman" w:cs="Times New Roman"/>
        </w:rPr>
        <w:t xml:space="preserve">(np. festynu, konferencji, rajdu rowerowego, konkursu kulinarnego, spływu kajakowego itp.) </w:t>
      </w:r>
      <w:r>
        <w:rPr>
          <w:rFonts w:ascii="Times New Roman" w:hAnsi="Times New Roman" w:cs="Times New Roman"/>
        </w:rPr>
        <w:t xml:space="preserve">- zorganizowane </w:t>
      </w:r>
      <w:r w:rsidRPr="002869BD">
        <w:rPr>
          <w:rFonts w:ascii="Times New Roman" w:hAnsi="Times New Roman" w:cs="Times New Roman"/>
        </w:rPr>
        <w:t>dla społeczności z terenu LSR, podczas którego LGD m.in. przedstawi swoje dotychczasowe działania oraz wsparcie, którego udzieliło, jak również poinformuje o rocznym harmonogramie ogłaszania konkursów</w:t>
      </w:r>
      <w:r>
        <w:rPr>
          <w:rFonts w:ascii="Times New Roman" w:hAnsi="Times New Roman" w:cs="Times New Roman"/>
        </w:rPr>
        <w:t>;</w:t>
      </w:r>
      <w:r w:rsidR="00395771">
        <w:rPr>
          <w:rFonts w:ascii="Times New Roman" w:hAnsi="Times New Roman" w:cs="Times New Roman"/>
        </w:rPr>
        <w:t xml:space="preserve"> lub organizacja MPI – Mobilnych Punktów Informacyjnych RLKS – punktów organizowanych przez LGD</w:t>
      </w:r>
      <w:r w:rsidR="00B62439">
        <w:rPr>
          <w:rFonts w:ascii="Times New Roman" w:hAnsi="Times New Roman" w:cs="Times New Roman"/>
        </w:rPr>
        <w:t xml:space="preserve"> podczas różnorodnych wydarzeń realizowanych na obszarze LSR lub poza obszarem LSR (ale na terenie województwa kujawsko-pomorskiego) przez różne podmioty, w tym LGD.</w:t>
      </w:r>
      <w:r w:rsidR="004829C1">
        <w:rPr>
          <w:rFonts w:ascii="Times New Roman" w:hAnsi="Times New Roman" w:cs="Times New Roman"/>
        </w:rPr>
        <w:t xml:space="preserve"> Otwarte wydarzenie/Mobilny Punkt Informacyjny LGD powinny zostać oznakowane </w:t>
      </w:r>
      <w:proofErr w:type="spellStart"/>
      <w:r w:rsidR="004829C1">
        <w:rPr>
          <w:rFonts w:ascii="Times New Roman" w:hAnsi="Times New Roman" w:cs="Times New Roman"/>
        </w:rPr>
        <w:t>roll-upem</w:t>
      </w:r>
      <w:proofErr w:type="spellEnd"/>
      <w:r w:rsidR="004829C1">
        <w:rPr>
          <w:rFonts w:ascii="Times New Roman" w:hAnsi="Times New Roman" w:cs="Times New Roman"/>
        </w:rPr>
        <w:t xml:space="preserve"> lub x-baner o min. wymiarach 100x200 cm zgodnym z wizualizacją przekazaną przez ZW.</w:t>
      </w:r>
    </w:p>
    <w:p w14:paraId="7C322B1A" w14:textId="77638281" w:rsidR="002869BD" w:rsidRPr="00B1640C" w:rsidRDefault="002869BD" w:rsidP="000864E7">
      <w:pPr>
        <w:pStyle w:val="Akapitzlist"/>
        <w:numPr>
          <w:ilvl w:val="0"/>
          <w:numId w:val="6"/>
        </w:numPr>
        <w:spacing w:line="360" w:lineRule="auto"/>
        <w:jc w:val="both"/>
        <w:rPr>
          <w:rFonts w:ascii="Times New Roman" w:hAnsi="Times New Roman" w:cs="Times New Roman"/>
        </w:rPr>
      </w:pPr>
      <w:r>
        <w:rPr>
          <w:rFonts w:ascii="Times New Roman" w:hAnsi="Times New Roman" w:cs="Times New Roman"/>
        </w:rPr>
        <w:t xml:space="preserve">Forum generalne LGD - </w:t>
      </w:r>
      <w:r w:rsidR="00873130" w:rsidRPr="00873130">
        <w:rPr>
          <w:rFonts w:ascii="Times New Roman" w:hAnsi="Times New Roman" w:cs="Times New Roman"/>
        </w:rPr>
        <w:t>zorganizowane raz w roku</w:t>
      </w:r>
      <w:r w:rsidR="00873130">
        <w:rPr>
          <w:rFonts w:ascii="Times New Roman" w:hAnsi="Times New Roman" w:cs="Times New Roman"/>
        </w:rPr>
        <w:t xml:space="preserve">, </w:t>
      </w:r>
      <w:r w:rsidR="00873130" w:rsidRPr="00873130">
        <w:rPr>
          <w:rFonts w:ascii="Times New Roman" w:hAnsi="Times New Roman" w:cs="Times New Roman"/>
        </w:rPr>
        <w:t>na które LGD zaprosi uczestników</w:t>
      </w:r>
      <w:r w:rsidR="00B62439">
        <w:rPr>
          <w:rFonts w:ascii="Times New Roman" w:hAnsi="Times New Roman" w:cs="Times New Roman"/>
        </w:rPr>
        <w:t xml:space="preserve"> przedstawicieli/delegatów ze</w:t>
      </w:r>
      <w:r w:rsidR="00873130" w:rsidRPr="00873130">
        <w:rPr>
          <w:rFonts w:ascii="Times New Roman" w:hAnsi="Times New Roman" w:cs="Times New Roman"/>
        </w:rPr>
        <w:t xml:space="preserve"> spotkań informacyjno-konsultacyjnych organizowanych w </w:t>
      </w:r>
      <w:r w:rsidR="00873130" w:rsidRPr="00873130">
        <w:rPr>
          <w:rFonts w:ascii="Times New Roman" w:hAnsi="Times New Roman" w:cs="Times New Roman"/>
        </w:rPr>
        <w:lastRenderedPageBreak/>
        <w:t>gminach</w:t>
      </w:r>
      <w:r w:rsidR="00B62439">
        <w:rPr>
          <w:rFonts w:ascii="Times New Roman" w:hAnsi="Times New Roman" w:cs="Times New Roman"/>
        </w:rPr>
        <w:t xml:space="preserve"> i sołectwach</w:t>
      </w:r>
      <w:r w:rsidR="00873130" w:rsidRPr="00873130">
        <w:rPr>
          <w:rFonts w:ascii="Times New Roman" w:hAnsi="Times New Roman" w:cs="Times New Roman"/>
        </w:rPr>
        <w:t xml:space="preserve"> a także przedstawiciel</w:t>
      </w:r>
      <w:r w:rsidR="00B62439">
        <w:rPr>
          <w:rFonts w:ascii="Times New Roman" w:hAnsi="Times New Roman" w:cs="Times New Roman"/>
        </w:rPr>
        <w:t>i</w:t>
      </w:r>
      <w:r w:rsidR="00873130" w:rsidRPr="00873130">
        <w:rPr>
          <w:rFonts w:ascii="Times New Roman" w:hAnsi="Times New Roman" w:cs="Times New Roman"/>
        </w:rPr>
        <w:t xml:space="preserve"> grup docelowych wymienionych w standardzie oraz innych lokalnych partnerów działających w obszarze społecznym i gospodarczym. Podczas Forum LGD przedstawi wnioski, pomysły i potrzeby zgłoszone podczas spotkań gminnych.</w:t>
      </w:r>
      <w:r w:rsidR="00873130">
        <w:rPr>
          <w:rFonts w:ascii="Times New Roman" w:hAnsi="Times New Roman" w:cs="Times New Roman"/>
        </w:rPr>
        <w:t xml:space="preserve"> </w:t>
      </w:r>
      <w:r w:rsidR="00873130" w:rsidRPr="00873130">
        <w:rPr>
          <w:rFonts w:ascii="Times New Roman" w:hAnsi="Times New Roman" w:cs="Times New Roman"/>
        </w:rPr>
        <w:t>Podczas Forum mogą być także zebrane nowe potrzeby, na które odpowiedzią może być LSR. Przedmiotem konsultacji na Forum będzie także sposób premiowania projektów w ramach konkursów ogłaszanych przez LGD</w:t>
      </w:r>
      <w:r w:rsidR="00873130">
        <w:rPr>
          <w:rFonts w:ascii="Times New Roman" w:hAnsi="Times New Roman" w:cs="Times New Roman"/>
        </w:rPr>
        <w:t>.</w:t>
      </w:r>
    </w:p>
    <w:p w14:paraId="35B47E3C" w14:textId="747331C0" w:rsidR="000864E7" w:rsidRPr="00B1640C" w:rsidRDefault="00873130" w:rsidP="00666508">
      <w:pPr>
        <w:pStyle w:val="Akapitzlist"/>
        <w:numPr>
          <w:ilvl w:val="0"/>
          <w:numId w:val="6"/>
        </w:numPr>
        <w:spacing w:line="360" w:lineRule="auto"/>
        <w:jc w:val="both"/>
        <w:rPr>
          <w:rFonts w:ascii="Times New Roman" w:hAnsi="Times New Roman" w:cs="Times New Roman"/>
        </w:rPr>
      </w:pPr>
      <w:r>
        <w:rPr>
          <w:rFonts w:ascii="Times New Roman" w:hAnsi="Times New Roman" w:cs="Times New Roman"/>
        </w:rPr>
        <w:t>S</w:t>
      </w:r>
      <w:r w:rsidR="000864E7" w:rsidRPr="00B1640C">
        <w:rPr>
          <w:rFonts w:ascii="Times New Roman" w:hAnsi="Times New Roman" w:cs="Times New Roman"/>
        </w:rPr>
        <w:t>potkani</w:t>
      </w:r>
      <w:r>
        <w:rPr>
          <w:rFonts w:ascii="Times New Roman" w:hAnsi="Times New Roman" w:cs="Times New Roman"/>
        </w:rPr>
        <w:t>e</w:t>
      </w:r>
      <w:r w:rsidR="000864E7" w:rsidRPr="00B1640C">
        <w:rPr>
          <w:rFonts w:ascii="Times New Roman" w:hAnsi="Times New Roman" w:cs="Times New Roman"/>
        </w:rPr>
        <w:t xml:space="preserve"> informacyjno-konsultacyjne – </w:t>
      </w:r>
      <w:r w:rsidRPr="00873130">
        <w:rPr>
          <w:rFonts w:ascii="Times New Roman" w:hAnsi="Times New Roman" w:cs="Times New Roman"/>
        </w:rPr>
        <w:t>zorganizowanie raz w roku 1 spotkania informacyjno-konsultacyjnego</w:t>
      </w:r>
      <w:r w:rsidR="00CC026A">
        <w:rPr>
          <w:rFonts w:ascii="Times New Roman" w:hAnsi="Times New Roman" w:cs="Times New Roman"/>
        </w:rPr>
        <w:t xml:space="preserve"> </w:t>
      </w:r>
      <w:r w:rsidRPr="00873130">
        <w:rPr>
          <w:rFonts w:ascii="Times New Roman" w:hAnsi="Times New Roman" w:cs="Times New Roman"/>
        </w:rPr>
        <w:t>z przedstawicielami grup docelowych działań komunikacyjnych (w szczególności przedstawicielami sołectw</w:t>
      </w:r>
      <w:r w:rsidR="00CA1209">
        <w:rPr>
          <w:rFonts w:ascii="Times New Roman" w:hAnsi="Times New Roman" w:cs="Times New Roman"/>
        </w:rPr>
        <w:t>)</w:t>
      </w:r>
      <w:r w:rsidR="00CA1209" w:rsidRPr="00CA1209">
        <w:t xml:space="preserve"> </w:t>
      </w:r>
      <w:r w:rsidR="00CA1209" w:rsidRPr="00CA1209">
        <w:rPr>
          <w:rFonts w:ascii="Times New Roman" w:hAnsi="Times New Roman" w:cs="Times New Roman"/>
        </w:rPr>
        <w:t>w każdej gminie obszaru</w:t>
      </w:r>
      <w:r w:rsidR="00CA1209">
        <w:rPr>
          <w:rFonts w:ascii="Times New Roman" w:hAnsi="Times New Roman" w:cs="Times New Roman"/>
        </w:rPr>
        <w:t xml:space="preserve">. </w:t>
      </w:r>
      <w:r w:rsidR="00CA1209" w:rsidRPr="00CA1209">
        <w:rPr>
          <w:rFonts w:ascii="Times New Roman" w:hAnsi="Times New Roman" w:cs="Times New Roman"/>
        </w:rPr>
        <w:t>Podczas spotkań omówione zostaną zarówno możliwości uzyskania dofinansowania, jak również nastąpi identyfikacja pomysłów, które będzie można zrealizować w ramach konkursów ogłoszonych przez LGD w najbliższym czasie</w:t>
      </w:r>
      <w:r w:rsidR="00CA1209">
        <w:rPr>
          <w:rFonts w:ascii="Times New Roman" w:hAnsi="Times New Roman" w:cs="Times New Roman"/>
        </w:rPr>
        <w:t xml:space="preserve">; </w:t>
      </w:r>
    </w:p>
    <w:p w14:paraId="1C065B8C" w14:textId="77777777" w:rsidR="000864E7" w:rsidRPr="00B1640C" w:rsidRDefault="00666508" w:rsidP="00666508">
      <w:pPr>
        <w:pStyle w:val="Akapitzlist"/>
        <w:numPr>
          <w:ilvl w:val="0"/>
          <w:numId w:val="6"/>
        </w:numPr>
        <w:spacing w:line="360" w:lineRule="auto"/>
        <w:jc w:val="both"/>
        <w:rPr>
          <w:rFonts w:ascii="Times New Roman" w:hAnsi="Times New Roman" w:cs="Times New Roman"/>
        </w:rPr>
      </w:pPr>
      <w:r w:rsidRPr="00B1640C">
        <w:rPr>
          <w:rFonts w:ascii="Times New Roman" w:hAnsi="Times New Roman" w:cs="Times New Roman"/>
        </w:rPr>
        <w:t>B</w:t>
      </w:r>
      <w:r w:rsidR="000864E7" w:rsidRPr="00B1640C">
        <w:rPr>
          <w:rFonts w:ascii="Times New Roman" w:hAnsi="Times New Roman" w:cs="Times New Roman"/>
        </w:rPr>
        <w:t>ezpłatne szkolenia – organizowane w zakresie zasad przyznawania pomocy i/lub wypełniania wniosku</w:t>
      </w:r>
      <w:r w:rsidRPr="00B1640C">
        <w:rPr>
          <w:rFonts w:ascii="Times New Roman" w:hAnsi="Times New Roman" w:cs="Times New Roman"/>
        </w:rPr>
        <w:t xml:space="preserve"> </w:t>
      </w:r>
      <w:r w:rsidR="000864E7" w:rsidRPr="00B1640C">
        <w:rPr>
          <w:rFonts w:ascii="Times New Roman" w:hAnsi="Times New Roman" w:cs="Times New Roman"/>
        </w:rPr>
        <w:t>o przyznanie pomocy/ powierzenie grantu przed ogłoszeniem każdego konkursu lub w trakcie trwania ogłoszenia;</w:t>
      </w:r>
    </w:p>
    <w:p w14:paraId="3AF2C979" w14:textId="77777777" w:rsidR="000864E7" w:rsidRPr="00B1640C" w:rsidRDefault="00666508" w:rsidP="000864E7">
      <w:pPr>
        <w:pStyle w:val="Akapitzlist"/>
        <w:numPr>
          <w:ilvl w:val="0"/>
          <w:numId w:val="6"/>
        </w:numPr>
        <w:spacing w:line="360" w:lineRule="auto"/>
        <w:jc w:val="both"/>
        <w:rPr>
          <w:rFonts w:ascii="Times New Roman" w:hAnsi="Times New Roman" w:cs="Times New Roman"/>
        </w:rPr>
      </w:pPr>
      <w:r w:rsidRPr="00B1640C">
        <w:rPr>
          <w:rFonts w:ascii="Times New Roman" w:hAnsi="Times New Roman" w:cs="Times New Roman"/>
        </w:rPr>
        <w:t>D</w:t>
      </w:r>
      <w:r w:rsidR="000864E7" w:rsidRPr="00B1640C">
        <w:rPr>
          <w:rFonts w:ascii="Times New Roman" w:hAnsi="Times New Roman" w:cs="Times New Roman"/>
        </w:rPr>
        <w:t>ziałania w mediach społecznościowych – prezentujące materiały o treści informacyjnej;</w:t>
      </w:r>
    </w:p>
    <w:p w14:paraId="0F2808F7" w14:textId="792FB604" w:rsidR="000864E7" w:rsidRPr="00565E89" w:rsidRDefault="00666508" w:rsidP="00565E89">
      <w:pPr>
        <w:pStyle w:val="Akapitzlist"/>
        <w:numPr>
          <w:ilvl w:val="0"/>
          <w:numId w:val="6"/>
        </w:numPr>
        <w:spacing w:line="360" w:lineRule="auto"/>
        <w:jc w:val="both"/>
        <w:rPr>
          <w:rFonts w:ascii="Times New Roman" w:hAnsi="Times New Roman" w:cs="Times New Roman"/>
        </w:rPr>
      </w:pPr>
      <w:r w:rsidRPr="00B1640C">
        <w:rPr>
          <w:rFonts w:ascii="Times New Roman" w:hAnsi="Times New Roman" w:cs="Times New Roman"/>
        </w:rPr>
        <w:t>K</w:t>
      </w:r>
      <w:r w:rsidR="000864E7" w:rsidRPr="00B1640C">
        <w:rPr>
          <w:rFonts w:ascii="Times New Roman" w:hAnsi="Times New Roman" w:cs="Times New Roman"/>
        </w:rPr>
        <w:t xml:space="preserve">omunikacja z Zarządem Województwa/ wskazaną organizacją lub instytucją – informowanie </w:t>
      </w:r>
      <w:r w:rsidR="004C328D">
        <w:rPr>
          <w:rFonts w:ascii="Times New Roman" w:hAnsi="Times New Roman" w:cs="Times New Roman"/>
        </w:rPr>
        <w:t xml:space="preserve">z co najmniej 14 – dniowym wyprzedzeniem </w:t>
      </w:r>
      <w:r w:rsidR="00565E89" w:rsidRPr="00565E89">
        <w:rPr>
          <w:rFonts w:ascii="Times New Roman" w:hAnsi="Times New Roman" w:cs="Times New Roman"/>
        </w:rPr>
        <w:t>w ramach planu komunikacji jednodniowych wydarzeniach/aktywnościach na terenie objętym LSR, tj. konferencjach, seminariach, Forum Generalnym LGD, wręczeniu umów grantowych/podsumowaniu konkursów, spotkaniach informacyjno-konsultacyjnych w gminach, otwartych wydarzeniach plenerowych), na wskazany przez ZW adres mailowy.   O pozostałych aktywnościach organizowanych przez LGD, biuro LGD zobowiązane jest niezwłocznie powiadomić ZW na ww. adres</w:t>
      </w:r>
      <w:r w:rsidR="00565E89">
        <w:rPr>
          <w:rFonts w:ascii="Times New Roman" w:hAnsi="Times New Roman" w:cs="Times New Roman"/>
        </w:rPr>
        <w:t>;</w:t>
      </w:r>
    </w:p>
    <w:p w14:paraId="0DECB5B0" w14:textId="0088B075" w:rsidR="000864E7" w:rsidRPr="00B1640C" w:rsidRDefault="00AE3D60" w:rsidP="000864E7">
      <w:pPr>
        <w:pStyle w:val="Akapitzlist"/>
        <w:numPr>
          <w:ilvl w:val="0"/>
          <w:numId w:val="6"/>
        </w:numPr>
        <w:spacing w:line="360" w:lineRule="auto"/>
        <w:jc w:val="both"/>
        <w:rPr>
          <w:rFonts w:ascii="Times New Roman" w:hAnsi="Times New Roman" w:cs="Times New Roman"/>
        </w:rPr>
      </w:pPr>
      <w:r>
        <w:rPr>
          <w:rFonts w:ascii="Times New Roman" w:hAnsi="Times New Roman" w:cs="Times New Roman"/>
        </w:rPr>
        <w:t>Bezpłatne doradztwo – świadczone przez pracowników w siedzibie LGD</w:t>
      </w:r>
      <w:r w:rsidR="000864E7" w:rsidRPr="00B1640C">
        <w:rPr>
          <w:rFonts w:ascii="Times New Roman" w:hAnsi="Times New Roman" w:cs="Times New Roman"/>
        </w:rPr>
        <w:t>;</w:t>
      </w:r>
    </w:p>
    <w:p w14:paraId="0236C5B1" w14:textId="77777777" w:rsidR="000864E7" w:rsidRPr="00B1640C" w:rsidRDefault="000864E7" w:rsidP="00666508">
      <w:pPr>
        <w:spacing w:after="0" w:line="360" w:lineRule="auto"/>
        <w:ind w:left="360"/>
        <w:jc w:val="both"/>
        <w:rPr>
          <w:rFonts w:ascii="Times New Roman" w:hAnsi="Times New Roman" w:cs="Times New Roman"/>
        </w:rPr>
      </w:pPr>
      <w:r w:rsidRPr="00B1640C">
        <w:rPr>
          <w:rFonts w:ascii="Times New Roman" w:hAnsi="Times New Roman" w:cs="Times New Roman"/>
        </w:rPr>
        <w:t>Komunikaty kierowane do wskazanych grup osób powinny mieć najbardziej rozbudowany i specjalistyczny charakter i być jednocześnie istotnie aktywizujące, motywujące, pobudzające do działania.</w:t>
      </w:r>
    </w:p>
    <w:p w14:paraId="702CFEAA" w14:textId="74444B83" w:rsidR="00F60C2A" w:rsidRPr="00B1640C" w:rsidRDefault="00F60C2A" w:rsidP="00E06727">
      <w:pPr>
        <w:spacing w:after="0" w:line="360" w:lineRule="auto"/>
        <w:ind w:left="360"/>
        <w:jc w:val="both"/>
        <w:rPr>
          <w:rFonts w:ascii="Times New Roman" w:hAnsi="Times New Roman" w:cs="Times New Roman"/>
        </w:rPr>
      </w:pPr>
      <w:r w:rsidRPr="00B1640C">
        <w:rPr>
          <w:rFonts w:ascii="Times New Roman" w:hAnsi="Times New Roman" w:cs="Times New Roman"/>
        </w:rPr>
        <w:t>Na kampanię promocyjną, skierowaną do ogółu mieszkańców LGD Gmin Dobrzyńskich Region Południe, składać się będą:</w:t>
      </w:r>
    </w:p>
    <w:p w14:paraId="0932C400" w14:textId="74D0412F" w:rsidR="00F60C2A" w:rsidRPr="00B1640C" w:rsidRDefault="00E06727" w:rsidP="00F60C2A">
      <w:pPr>
        <w:spacing w:after="0" w:line="360" w:lineRule="auto"/>
        <w:ind w:left="360"/>
        <w:jc w:val="both"/>
        <w:rPr>
          <w:rFonts w:ascii="Times New Roman" w:hAnsi="Times New Roman" w:cs="Times New Roman"/>
        </w:rPr>
      </w:pPr>
      <w:r>
        <w:rPr>
          <w:rFonts w:ascii="Times New Roman" w:hAnsi="Times New Roman" w:cs="Times New Roman"/>
        </w:rPr>
        <w:t>1</w:t>
      </w:r>
      <w:r w:rsidR="00F60C2A" w:rsidRPr="00B1640C">
        <w:rPr>
          <w:rFonts w:ascii="Times New Roman" w:hAnsi="Times New Roman" w:cs="Times New Roman"/>
        </w:rPr>
        <w:t>)</w:t>
      </w:r>
      <w:r w:rsidR="00F60C2A" w:rsidRPr="00B1640C">
        <w:rPr>
          <w:rFonts w:ascii="Times New Roman" w:hAnsi="Times New Roman" w:cs="Times New Roman"/>
        </w:rPr>
        <w:tab/>
        <w:t>działania w mediach społecznościowych – prezentujące materiały o treści promocyjnej;</w:t>
      </w:r>
    </w:p>
    <w:p w14:paraId="7B95EF1D" w14:textId="60790970" w:rsidR="00F60C2A" w:rsidRPr="00B1640C" w:rsidRDefault="00E06727" w:rsidP="00F60C2A">
      <w:pPr>
        <w:spacing w:after="0" w:line="360" w:lineRule="auto"/>
        <w:ind w:left="360"/>
        <w:jc w:val="both"/>
        <w:rPr>
          <w:rFonts w:ascii="Times New Roman" w:hAnsi="Times New Roman" w:cs="Times New Roman"/>
        </w:rPr>
      </w:pPr>
      <w:r>
        <w:rPr>
          <w:rFonts w:ascii="Times New Roman" w:hAnsi="Times New Roman" w:cs="Times New Roman"/>
        </w:rPr>
        <w:t>2</w:t>
      </w:r>
      <w:r w:rsidR="00F60C2A" w:rsidRPr="00B1640C">
        <w:rPr>
          <w:rFonts w:ascii="Times New Roman" w:hAnsi="Times New Roman" w:cs="Times New Roman"/>
        </w:rPr>
        <w:t>)</w:t>
      </w:r>
      <w:r w:rsidR="00F60C2A" w:rsidRPr="00B1640C">
        <w:rPr>
          <w:rFonts w:ascii="Times New Roman" w:hAnsi="Times New Roman" w:cs="Times New Roman"/>
        </w:rPr>
        <w:tab/>
        <w:t>funkcjonowanie strony internetowej – prezentacja materiałów o treści promocyjnej;</w:t>
      </w:r>
    </w:p>
    <w:p w14:paraId="420337CD" w14:textId="2CEE7418" w:rsidR="00F60C2A" w:rsidRPr="00B1640C" w:rsidRDefault="00E06727" w:rsidP="00F60C2A">
      <w:pPr>
        <w:spacing w:after="0" w:line="360" w:lineRule="auto"/>
        <w:ind w:left="360"/>
        <w:jc w:val="both"/>
        <w:rPr>
          <w:rFonts w:ascii="Times New Roman" w:hAnsi="Times New Roman" w:cs="Times New Roman"/>
        </w:rPr>
      </w:pPr>
      <w:r>
        <w:rPr>
          <w:rFonts w:ascii="Times New Roman" w:hAnsi="Times New Roman" w:cs="Times New Roman"/>
        </w:rPr>
        <w:t>3</w:t>
      </w:r>
      <w:r w:rsidR="00F60C2A" w:rsidRPr="00B1640C">
        <w:rPr>
          <w:rFonts w:ascii="Times New Roman" w:hAnsi="Times New Roman" w:cs="Times New Roman"/>
        </w:rPr>
        <w:t>)</w:t>
      </w:r>
      <w:r w:rsidR="00F60C2A" w:rsidRPr="00B1640C">
        <w:rPr>
          <w:rFonts w:ascii="Times New Roman" w:hAnsi="Times New Roman" w:cs="Times New Roman"/>
        </w:rPr>
        <w:tab/>
        <w:t>punkt promocyjny – prowadzony podczas wydarzeń organizowanych przez członków Stowarzyszenia i inne podmioty zaangażowane w rozwój obszaru objętego LSR, w czasie których dystrybuowane będą ulotki informacyjne i gadżety reklamowe;</w:t>
      </w:r>
    </w:p>
    <w:p w14:paraId="0423CB38" w14:textId="4B96DB16" w:rsidR="00F31328" w:rsidRPr="00565E89" w:rsidRDefault="00E06727" w:rsidP="00565E89">
      <w:pPr>
        <w:spacing w:after="0" w:line="360" w:lineRule="auto"/>
        <w:ind w:left="360"/>
        <w:jc w:val="both"/>
        <w:rPr>
          <w:rFonts w:ascii="Times New Roman" w:hAnsi="Times New Roman" w:cs="Times New Roman"/>
        </w:rPr>
      </w:pPr>
      <w:r>
        <w:rPr>
          <w:rFonts w:ascii="Times New Roman" w:hAnsi="Times New Roman" w:cs="Times New Roman"/>
        </w:rPr>
        <w:lastRenderedPageBreak/>
        <w:t>4</w:t>
      </w:r>
      <w:r w:rsidR="00F60C2A" w:rsidRPr="00B1640C">
        <w:rPr>
          <w:rFonts w:ascii="Times New Roman" w:hAnsi="Times New Roman" w:cs="Times New Roman"/>
        </w:rPr>
        <w:t>)</w:t>
      </w:r>
      <w:r w:rsidR="00F60C2A" w:rsidRPr="00B1640C">
        <w:rPr>
          <w:rFonts w:ascii="Times New Roman" w:hAnsi="Times New Roman" w:cs="Times New Roman"/>
        </w:rPr>
        <w:tab/>
        <w:t xml:space="preserve">otwarte wydarzenie – organizowane dla lokalnej społeczności, </w:t>
      </w:r>
      <w:r w:rsidR="00E76100" w:rsidRPr="00B1640C">
        <w:rPr>
          <w:rFonts w:ascii="Times New Roman" w:hAnsi="Times New Roman" w:cs="Times New Roman"/>
        </w:rPr>
        <w:t xml:space="preserve">np. festynu, konferencji, rajdu rowerowego, konkursu kulinarnego, itp. </w:t>
      </w:r>
      <w:r w:rsidR="00F60C2A" w:rsidRPr="00B1640C">
        <w:rPr>
          <w:rFonts w:ascii="Times New Roman" w:hAnsi="Times New Roman" w:cs="Times New Roman"/>
        </w:rPr>
        <w:t>w czasie którego LGD m.in. przedstawi swoje dotychczasowe działania oraz efekty udzielonego wsparcia, jak również poinformuje o rocznym harmonogramie ogłaszania konkursów</w:t>
      </w:r>
      <w:r w:rsidR="00565E89">
        <w:rPr>
          <w:rFonts w:ascii="Times New Roman" w:hAnsi="Times New Roman" w:cs="Times New Roman"/>
        </w:rPr>
        <w:t xml:space="preserve"> lub </w:t>
      </w:r>
      <w:r w:rsidR="00565E89" w:rsidRPr="00565E89">
        <w:rPr>
          <w:rFonts w:ascii="Times New Roman" w:hAnsi="Times New Roman" w:cs="Times New Roman"/>
        </w:rPr>
        <w:t>organizacja MPI – Mobilnych Punktów Informacyjnych RLKS</w:t>
      </w:r>
      <w:r w:rsidR="00565E89">
        <w:rPr>
          <w:rFonts w:ascii="Times New Roman" w:hAnsi="Times New Roman" w:cs="Times New Roman"/>
        </w:rPr>
        <w:t xml:space="preserve"> - </w:t>
      </w:r>
      <w:r w:rsidR="00565E89" w:rsidRPr="00565E89">
        <w:rPr>
          <w:rFonts w:ascii="Times New Roman" w:hAnsi="Times New Roman" w:cs="Times New Roman"/>
        </w:rPr>
        <w:t>punktów organizowanych przez LGD podczas różnorodnych wydarzeń realizowanych na obszarze LSR lub poza obszarem LSR (ale na terenie województwa kujawsko-pomorskiego)</w:t>
      </w:r>
      <w:r w:rsidR="00565E89">
        <w:rPr>
          <w:rFonts w:ascii="Times New Roman" w:hAnsi="Times New Roman" w:cs="Times New Roman"/>
        </w:rPr>
        <w:t>.</w:t>
      </w:r>
    </w:p>
    <w:p w14:paraId="60214165" w14:textId="77777777" w:rsidR="00AE3D60" w:rsidRPr="00AE3D60" w:rsidRDefault="00AE3D60" w:rsidP="00AE3D60">
      <w:pPr>
        <w:pStyle w:val="Akapitzlist"/>
        <w:spacing w:after="0" w:line="360" w:lineRule="auto"/>
        <w:jc w:val="both"/>
        <w:rPr>
          <w:rFonts w:ascii="Times New Roman" w:hAnsi="Times New Roman" w:cs="Times New Roman"/>
          <w:b/>
          <w:bCs/>
        </w:rPr>
      </w:pPr>
    </w:p>
    <w:p w14:paraId="162E2EF1" w14:textId="6CA8DE05" w:rsidR="000E676B" w:rsidRPr="00B1640C" w:rsidRDefault="000E676B" w:rsidP="00A534C8">
      <w:pPr>
        <w:pStyle w:val="Akapitzlist"/>
        <w:numPr>
          <w:ilvl w:val="0"/>
          <w:numId w:val="3"/>
        </w:numPr>
        <w:spacing w:after="0" w:line="360" w:lineRule="auto"/>
        <w:jc w:val="both"/>
        <w:rPr>
          <w:rFonts w:ascii="Times New Roman" w:hAnsi="Times New Roman" w:cs="Times New Roman"/>
          <w:b/>
          <w:bCs/>
        </w:rPr>
      </w:pPr>
      <w:r w:rsidRPr="00B1640C">
        <w:rPr>
          <w:rFonts w:ascii="Times New Roman" w:hAnsi="Times New Roman" w:cs="Times New Roman"/>
          <w:b/>
          <w:bCs/>
        </w:rPr>
        <w:t>ZAKŁADANE WSKAŹNIKI I PLANOWANE EFEKTY DZIAŁAŃ KOMUNIKACYJNYCH</w:t>
      </w:r>
    </w:p>
    <w:p w14:paraId="04CB8169" w14:textId="77777777" w:rsidR="00F60C2A" w:rsidRPr="00B1640C" w:rsidRDefault="000E676B" w:rsidP="000E676B">
      <w:pPr>
        <w:spacing w:after="0" w:line="360" w:lineRule="auto"/>
        <w:ind w:left="360"/>
        <w:jc w:val="both"/>
        <w:rPr>
          <w:rFonts w:ascii="Times New Roman" w:hAnsi="Times New Roman" w:cs="Times New Roman"/>
        </w:rPr>
      </w:pPr>
      <w:r w:rsidRPr="00B1640C">
        <w:rPr>
          <w:rFonts w:ascii="Times New Roman" w:hAnsi="Times New Roman" w:cs="Times New Roman"/>
        </w:rPr>
        <w:t>Przyjęcie określonych środków przekazu w ramach Planu Komunikacji wiąże się jednocześnie ze zdefiniowaniem adekwatnych wskaźników, które umożliwiają ocenę realizacji działań komunikacyjnych i planowanych efektów ich wykorzystania:</w:t>
      </w:r>
      <w:r w:rsidR="00F60C2A" w:rsidRPr="00B1640C">
        <w:rPr>
          <w:rFonts w:ascii="Times New Roman" w:hAnsi="Times New Roman" w:cs="Times New Roman"/>
        </w:rPr>
        <w:t xml:space="preserve"> </w:t>
      </w:r>
    </w:p>
    <w:p w14:paraId="0E3052EB" w14:textId="77777777" w:rsidR="00272A0E" w:rsidRPr="00B1640C" w:rsidRDefault="00272A0E" w:rsidP="000864E7">
      <w:pPr>
        <w:spacing w:line="360" w:lineRule="auto"/>
        <w:jc w:val="both"/>
        <w:rPr>
          <w:rFonts w:ascii="Times New Roman" w:hAnsi="Times New Roman" w:cs="Times New Roman"/>
        </w:rPr>
      </w:pPr>
    </w:p>
    <w:p w14:paraId="6EE9B691" w14:textId="77777777" w:rsidR="00F17F79" w:rsidRPr="00B1640C" w:rsidRDefault="00F17F79" w:rsidP="000864E7">
      <w:pPr>
        <w:spacing w:line="360" w:lineRule="auto"/>
        <w:jc w:val="both"/>
        <w:rPr>
          <w:rFonts w:ascii="Times New Roman" w:hAnsi="Times New Roman" w:cs="Times New Roman"/>
        </w:rPr>
      </w:pPr>
    </w:p>
    <w:p w14:paraId="170DD788" w14:textId="77777777" w:rsidR="00F17F79" w:rsidRPr="00B1640C" w:rsidRDefault="00F17F79" w:rsidP="000864E7">
      <w:pPr>
        <w:spacing w:line="360" w:lineRule="auto"/>
        <w:jc w:val="both"/>
        <w:rPr>
          <w:rFonts w:ascii="Times New Roman" w:hAnsi="Times New Roman" w:cs="Times New Roman"/>
        </w:rPr>
      </w:pPr>
    </w:p>
    <w:p w14:paraId="091243D1" w14:textId="77777777" w:rsidR="00F17F79" w:rsidRPr="00B1640C" w:rsidRDefault="00F17F79" w:rsidP="000864E7">
      <w:pPr>
        <w:spacing w:line="360" w:lineRule="auto"/>
        <w:jc w:val="both"/>
        <w:rPr>
          <w:rFonts w:ascii="Times New Roman" w:hAnsi="Times New Roman" w:cs="Times New Roman"/>
        </w:rPr>
      </w:pPr>
    </w:p>
    <w:p w14:paraId="1CC06060" w14:textId="77777777" w:rsidR="00F17F79" w:rsidRPr="00B1640C" w:rsidRDefault="00F17F79" w:rsidP="000864E7">
      <w:pPr>
        <w:spacing w:line="360" w:lineRule="auto"/>
        <w:jc w:val="both"/>
        <w:rPr>
          <w:rFonts w:ascii="Times New Roman" w:hAnsi="Times New Roman" w:cs="Times New Roman"/>
        </w:rPr>
      </w:pPr>
    </w:p>
    <w:p w14:paraId="358210F3" w14:textId="77777777" w:rsidR="00F17F79" w:rsidRPr="00B1640C" w:rsidRDefault="00F17F79" w:rsidP="00F17F79">
      <w:pPr>
        <w:spacing w:line="360" w:lineRule="auto"/>
        <w:jc w:val="both"/>
        <w:rPr>
          <w:rFonts w:ascii="Times New Roman" w:hAnsi="Times New Roman" w:cs="Times New Roman"/>
          <w:b/>
          <w:bCs/>
        </w:rPr>
        <w:sectPr w:rsidR="00F17F79" w:rsidRPr="00B1640C" w:rsidSect="002E2D2E">
          <w:headerReference w:type="default" r:id="rId16"/>
          <w:footerReference w:type="default" r:id="rId17"/>
          <w:pgSz w:w="11906" w:h="16838"/>
          <w:pgMar w:top="1417" w:right="1417" w:bottom="1417" w:left="1417" w:header="708" w:footer="708" w:gutter="0"/>
          <w:cols w:space="708"/>
          <w:docGrid w:linePitch="360"/>
        </w:sectPr>
      </w:pPr>
    </w:p>
    <w:tbl>
      <w:tblPr>
        <w:tblStyle w:val="Tabela-Siatka"/>
        <w:tblW w:w="0" w:type="auto"/>
        <w:jc w:val="right"/>
        <w:tblLook w:val="04A0" w:firstRow="1" w:lastRow="0" w:firstColumn="1" w:lastColumn="0" w:noHBand="0" w:noVBand="1"/>
      </w:tblPr>
      <w:tblGrid>
        <w:gridCol w:w="630"/>
        <w:gridCol w:w="1910"/>
        <w:gridCol w:w="1992"/>
        <w:gridCol w:w="1699"/>
        <w:gridCol w:w="2073"/>
        <w:gridCol w:w="1945"/>
        <w:gridCol w:w="2490"/>
      </w:tblGrid>
      <w:tr w:rsidR="005A0934" w:rsidRPr="00B1640C" w14:paraId="4AE47A2F" w14:textId="77777777" w:rsidTr="005A0934">
        <w:trPr>
          <w:jc w:val="right"/>
        </w:trPr>
        <w:tc>
          <w:tcPr>
            <w:tcW w:w="630" w:type="dxa"/>
          </w:tcPr>
          <w:p w14:paraId="6E6211AB" w14:textId="65D3A509" w:rsidR="005A0934" w:rsidRPr="00B1640C" w:rsidRDefault="005A0934" w:rsidP="004D7BA1">
            <w:pPr>
              <w:spacing w:line="360" w:lineRule="auto"/>
              <w:jc w:val="center"/>
              <w:rPr>
                <w:rFonts w:ascii="Times New Roman" w:hAnsi="Times New Roman" w:cs="Times New Roman"/>
                <w:b/>
                <w:bCs/>
              </w:rPr>
            </w:pPr>
          </w:p>
        </w:tc>
        <w:tc>
          <w:tcPr>
            <w:tcW w:w="12109" w:type="dxa"/>
            <w:gridSpan w:val="6"/>
          </w:tcPr>
          <w:p w14:paraId="62AE118F" w14:textId="10856842" w:rsidR="005A0934" w:rsidRPr="00B1640C" w:rsidRDefault="005A0934" w:rsidP="004D7BA1">
            <w:pPr>
              <w:spacing w:after="160" w:line="360" w:lineRule="auto"/>
              <w:jc w:val="center"/>
              <w:rPr>
                <w:rFonts w:ascii="Times New Roman" w:hAnsi="Times New Roman" w:cs="Times New Roman"/>
                <w:sz w:val="22"/>
                <w:szCs w:val="22"/>
              </w:rPr>
            </w:pPr>
            <w:r w:rsidRPr="00B1640C">
              <w:rPr>
                <w:rFonts w:ascii="Times New Roman" w:hAnsi="Times New Roman" w:cs="Times New Roman"/>
                <w:b/>
                <w:bCs/>
                <w:sz w:val="22"/>
                <w:szCs w:val="22"/>
              </w:rPr>
              <w:t>PLAN KOMUNIKACJI Z LOKALNĄ SPOŁECZNOŚCIĄ</w:t>
            </w:r>
          </w:p>
        </w:tc>
      </w:tr>
      <w:tr w:rsidR="005A0934" w:rsidRPr="00B1640C" w14:paraId="486A0434" w14:textId="77777777" w:rsidTr="005A0934">
        <w:trPr>
          <w:jc w:val="right"/>
        </w:trPr>
        <w:tc>
          <w:tcPr>
            <w:tcW w:w="630" w:type="dxa"/>
            <w:tcBorders>
              <w:top w:val="nil"/>
              <w:left w:val="single" w:sz="4" w:space="0" w:color="auto"/>
              <w:bottom w:val="single" w:sz="4" w:space="0" w:color="auto"/>
              <w:right w:val="single" w:sz="4" w:space="0" w:color="auto"/>
            </w:tcBorders>
            <w:shd w:val="clear" w:color="000000" w:fill="E2EFDA"/>
          </w:tcPr>
          <w:p w14:paraId="6D1C6409" w14:textId="77777777" w:rsidR="005A0934" w:rsidRDefault="005A0934" w:rsidP="004D7BA1">
            <w:pPr>
              <w:jc w:val="both"/>
              <w:rPr>
                <w:rFonts w:ascii="Times New Roman" w:hAnsi="Times New Roman" w:cs="Times New Roman"/>
                <w:b/>
                <w:bCs/>
              </w:rPr>
            </w:pPr>
          </w:p>
          <w:p w14:paraId="26B7756D" w14:textId="0F633CB3" w:rsidR="005A0934" w:rsidRDefault="005A0934" w:rsidP="004D7BA1">
            <w:pPr>
              <w:jc w:val="both"/>
              <w:rPr>
                <w:rFonts w:ascii="Times New Roman" w:hAnsi="Times New Roman" w:cs="Times New Roman"/>
                <w:b/>
                <w:bCs/>
              </w:rPr>
            </w:pPr>
            <w:r>
              <w:rPr>
                <w:rFonts w:ascii="Times New Roman" w:hAnsi="Times New Roman" w:cs="Times New Roman"/>
                <w:b/>
                <w:bCs/>
              </w:rPr>
              <w:t>L.p.</w:t>
            </w:r>
          </w:p>
          <w:p w14:paraId="6AB07AC8" w14:textId="77777777" w:rsidR="005A0934" w:rsidRDefault="005A0934" w:rsidP="004D7BA1">
            <w:pPr>
              <w:jc w:val="both"/>
              <w:rPr>
                <w:rFonts w:ascii="Times New Roman" w:hAnsi="Times New Roman" w:cs="Times New Roman"/>
                <w:b/>
                <w:bCs/>
              </w:rPr>
            </w:pPr>
          </w:p>
          <w:p w14:paraId="07BC325F" w14:textId="4DD75F93" w:rsidR="005A0934" w:rsidRPr="00B1640C" w:rsidRDefault="005A0934" w:rsidP="004D7BA1">
            <w:pPr>
              <w:jc w:val="both"/>
              <w:rPr>
                <w:rFonts w:ascii="Times New Roman" w:hAnsi="Times New Roman" w:cs="Times New Roman"/>
                <w:b/>
                <w:bCs/>
              </w:rPr>
            </w:pPr>
          </w:p>
        </w:tc>
        <w:tc>
          <w:tcPr>
            <w:tcW w:w="1910" w:type="dxa"/>
            <w:tcBorders>
              <w:top w:val="nil"/>
              <w:left w:val="single" w:sz="4" w:space="0" w:color="auto"/>
              <w:bottom w:val="single" w:sz="4" w:space="0" w:color="auto"/>
              <w:right w:val="single" w:sz="4" w:space="0" w:color="auto"/>
            </w:tcBorders>
            <w:shd w:val="clear" w:color="000000" w:fill="E2EFDA"/>
            <w:vAlign w:val="center"/>
          </w:tcPr>
          <w:p w14:paraId="3A3031BE" w14:textId="434CB2F3" w:rsidR="005A0934" w:rsidRPr="00B1640C" w:rsidRDefault="005A0934" w:rsidP="004D7BA1">
            <w:pPr>
              <w:jc w:val="both"/>
              <w:rPr>
                <w:rFonts w:ascii="Times New Roman" w:hAnsi="Times New Roman" w:cs="Times New Roman"/>
                <w:b/>
                <w:bCs/>
                <w:sz w:val="22"/>
                <w:szCs w:val="22"/>
              </w:rPr>
            </w:pPr>
            <w:r w:rsidRPr="00B1640C">
              <w:rPr>
                <w:rFonts w:ascii="Times New Roman" w:hAnsi="Times New Roman" w:cs="Times New Roman"/>
                <w:b/>
                <w:bCs/>
                <w:sz w:val="22"/>
                <w:szCs w:val="22"/>
              </w:rPr>
              <w:t>Nazwa działania komunikacyjnego</w:t>
            </w:r>
          </w:p>
        </w:tc>
        <w:tc>
          <w:tcPr>
            <w:tcW w:w="1992" w:type="dxa"/>
            <w:tcBorders>
              <w:top w:val="nil"/>
              <w:left w:val="nil"/>
              <w:bottom w:val="single" w:sz="4" w:space="0" w:color="auto"/>
              <w:right w:val="single" w:sz="4" w:space="0" w:color="auto"/>
            </w:tcBorders>
            <w:shd w:val="clear" w:color="000000" w:fill="E2EFDA"/>
            <w:vAlign w:val="center"/>
          </w:tcPr>
          <w:p w14:paraId="65F1299A" w14:textId="77777777" w:rsidR="005A0934" w:rsidRPr="00B1640C" w:rsidRDefault="005A0934" w:rsidP="004D7BA1">
            <w:pPr>
              <w:jc w:val="both"/>
              <w:rPr>
                <w:rFonts w:ascii="Times New Roman" w:hAnsi="Times New Roman" w:cs="Times New Roman"/>
                <w:b/>
                <w:bCs/>
                <w:sz w:val="22"/>
                <w:szCs w:val="22"/>
              </w:rPr>
            </w:pPr>
            <w:r w:rsidRPr="00B1640C">
              <w:rPr>
                <w:rFonts w:ascii="Times New Roman" w:hAnsi="Times New Roman" w:cs="Times New Roman"/>
                <w:b/>
                <w:bCs/>
                <w:sz w:val="22"/>
                <w:szCs w:val="22"/>
              </w:rPr>
              <w:t>Opis działania komunikacyjnego</w:t>
            </w:r>
          </w:p>
        </w:tc>
        <w:tc>
          <w:tcPr>
            <w:tcW w:w="1699" w:type="dxa"/>
            <w:tcBorders>
              <w:top w:val="nil"/>
              <w:left w:val="nil"/>
              <w:bottom w:val="single" w:sz="4" w:space="0" w:color="auto"/>
              <w:right w:val="single" w:sz="4" w:space="0" w:color="auto"/>
            </w:tcBorders>
            <w:shd w:val="clear" w:color="000000" w:fill="E2EFDA"/>
            <w:vAlign w:val="center"/>
          </w:tcPr>
          <w:p w14:paraId="6FD5E224" w14:textId="77777777" w:rsidR="005A0934" w:rsidRPr="00B1640C" w:rsidRDefault="005A0934" w:rsidP="004D7BA1">
            <w:pPr>
              <w:jc w:val="both"/>
              <w:rPr>
                <w:rFonts w:ascii="Times New Roman" w:hAnsi="Times New Roman" w:cs="Times New Roman"/>
                <w:b/>
                <w:bCs/>
                <w:sz w:val="22"/>
                <w:szCs w:val="22"/>
              </w:rPr>
            </w:pPr>
            <w:r w:rsidRPr="00B1640C">
              <w:rPr>
                <w:rFonts w:ascii="Times New Roman" w:hAnsi="Times New Roman" w:cs="Times New Roman"/>
                <w:b/>
                <w:bCs/>
                <w:sz w:val="22"/>
                <w:szCs w:val="22"/>
              </w:rPr>
              <w:t>Grupa docelowa</w:t>
            </w:r>
          </w:p>
        </w:tc>
        <w:tc>
          <w:tcPr>
            <w:tcW w:w="2073" w:type="dxa"/>
            <w:tcBorders>
              <w:top w:val="nil"/>
              <w:left w:val="nil"/>
              <w:bottom w:val="single" w:sz="4" w:space="0" w:color="auto"/>
              <w:right w:val="single" w:sz="4" w:space="0" w:color="auto"/>
            </w:tcBorders>
            <w:shd w:val="clear" w:color="000000" w:fill="E2EFDA"/>
            <w:vAlign w:val="center"/>
          </w:tcPr>
          <w:p w14:paraId="7B51802D" w14:textId="77777777" w:rsidR="005A0934" w:rsidRPr="00B1640C" w:rsidRDefault="005A0934" w:rsidP="004D7BA1">
            <w:pPr>
              <w:jc w:val="both"/>
              <w:rPr>
                <w:rFonts w:ascii="Times New Roman" w:hAnsi="Times New Roman" w:cs="Times New Roman"/>
                <w:b/>
                <w:bCs/>
                <w:sz w:val="22"/>
                <w:szCs w:val="22"/>
              </w:rPr>
            </w:pPr>
            <w:r w:rsidRPr="00B1640C">
              <w:rPr>
                <w:rFonts w:ascii="Times New Roman" w:hAnsi="Times New Roman" w:cs="Times New Roman"/>
                <w:b/>
                <w:bCs/>
                <w:sz w:val="22"/>
                <w:szCs w:val="22"/>
              </w:rPr>
              <w:t>Środki przekazu</w:t>
            </w:r>
          </w:p>
        </w:tc>
        <w:tc>
          <w:tcPr>
            <w:tcW w:w="1945" w:type="dxa"/>
            <w:tcBorders>
              <w:top w:val="nil"/>
              <w:left w:val="nil"/>
              <w:bottom w:val="single" w:sz="4" w:space="0" w:color="auto"/>
              <w:right w:val="single" w:sz="4" w:space="0" w:color="auto"/>
            </w:tcBorders>
            <w:shd w:val="clear" w:color="000000" w:fill="E2EFDA"/>
            <w:vAlign w:val="center"/>
          </w:tcPr>
          <w:p w14:paraId="00AF3D5B" w14:textId="77777777" w:rsidR="005A0934" w:rsidRPr="00B1640C" w:rsidRDefault="005A0934" w:rsidP="004D7BA1">
            <w:pPr>
              <w:jc w:val="both"/>
              <w:rPr>
                <w:rFonts w:ascii="Times New Roman" w:hAnsi="Times New Roman" w:cs="Times New Roman"/>
                <w:b/>
                <w:bCs/>
                <w:sz w:val="22"/>
                <w:szCs w:val="22"/>
              </w:rPr>
            </w:pPr>
            <w:r w:rsidRPr="00B1640C">
              <w:rPr>
                <w:rFonts w:ascii="Times New Roman" w:hAnsi="Times New Roman" w:cs="Times New Roman"/>
                <w:b/>
                <w:bCs/>
                <w:sz w:val="22"/>
                <w:szCs w:val="22"/>
              </w:rPr>
              <w:t>Wskaźniki realizacji działań komunikacyjnych wraz z wartościami</w:t>
            </w:r>
          </w:p>
        </w:tc>
        <w:tc>
          <w:tcPr>
            <w:tcW w:w="2490" w:type="dxa"/>
            <w:tcBorders>
              <w:top w:val="nil"/>
              <w:left w:val="nil"/>
              <w:bottom w:val="single" w:sz="4" w:space="0" w:color="auto"/>
              <w:right w:val="single" w:sz="4" w:space="0" w:color="auto"/>
            </w:tcBorders>
            <w:shd w:val="clear" w:color="000000" w:fill="E2EFDA"/>
            <w:vAlign w:val="center"/>
          </w:tcPr>
          <w:p w14:paraId="5DD17B0A" w14:textId="77777777" w:rsidR="005A0934" w:rsidRPr="00B1640C" w:rsidRDefault="005A0934" w:rsidP="004D7BA1">
            <w:pPr>
              <w:jc w:val="both"/>
              <w:rPr>
                <w:rFonts w:ascii="Times New Roman" w:hAnsi="Times New Roman" w:cs="Times New Roman"/>
                <w:b/>
                <w:bCs/>
                <w:sz w:val="22"/>
                <w:szCs w:val="22"/>
              </w:rPr>
            </w:pPr>
            <w:r w:rsidRPr="00B1640C">
              <w:rPr>
                <w:rFonts w:ascii="Times New Roman" w:hAnsi="Times New Roman" w:cs="Times New Roman"/>
                <w:b/>
                <w:bCs/>
                <w:sz w:val="22"/>
                <w:szCs w:val="22"/>
              </w:rPr>
              <w:t>Planowane efekty działań komunikacyjnych</w:t>
            </w:r>
          </w:p>
        </w:tc>
      </w:tr>
      <w:tr w:rsidR="005A0934" w:rsidRPr="002838F9" w14:paraId="79A98D58" w14:textId="77777777" w:rsidTr="005A0934">
        <w:trPr>
          <w:trHeight w:val="1168"/>
          <w:jc w:val="right"/>
        </w:trPr>
        <w:tc>
          <w:tcPr>
            <w:tcW w:w="630" w:type="dxa"/>
            <w:vMerge w:val="restart"/>
            <w:tcBorders>
              <w:top w:val="nil"/>
              <w:left w:val="single" w:sz="4" w:space="0" w:color="auto"/>
              <w:right w:val="single" w:sz="4" w:space="0" w:color="auto"/>
            </w:tcBorders>
          </w:tcPr>
          <w:p w14:paraId="61066D9F" w14:textId="77777777" w:rsidR="005A0934" w:rsidRPr="002838F9" w:rsidRDefault="005A0934" w:rsidP="005A0934">
            <w:pPr>
              <w:jc w:val="center"/>
              <w:rPr>
                <w:rFonts w:ascii="Times New Roman" w:hAnsi="Times New Roman" w:cs="Times New Roman"/>
                <w:i/>
                <w:iCs/>
                <w:position w:val="6"/>
                <w:sz w:val="20"/>
                <w:szCs w:val="20"/>
              </w:rPr>
            </w:pPr>
          </w:p>
          <w:p w14:paraId="287875D1" w14:textId="77777777" w:rsidR="005A0934" w:rsidRPr="002838F9" w:rsidRDefault="005A0934" w:rsidP="005A0934">
            <w:pPr>
              <w:jc w:val="center"/>
              <w:rPr>
                <w:rFonts w:ascii="Times New Roman" w:hAnsi="Times New Roman" w:cs="Times New Roman"/>
                <w:i/>
                <w:iCs/>
                <w:position w:val="6"/>
                <w:sz w:val="20"/>
                <w:szCs w:val="20"/>
              </w:rPr>
            </w:pPr>
          </w:p>
          <w:p w14:paraId="077B992A" w14:textId="77777777" w:rsidR="005A0934" w:rsidRPr="002838F9" w:rsidRDefault="005A0934" w:rsidP="005A0934">
            <w:pPr>
              <w:jc w:val="center"/>
              <w:rPr>
                <w:rFonts w:ascii="Times New Roman" w:hAnsi="Times New Roman" w:cs="Times New Roman"/>
                <w:i/>
                <w:iCs/>
                <w:position w:val="6"/>
                <w:sz w:val="20"/>
                <w:szCs w:val="20"/>
              </w:rPr>
            </w:pPr>
          </w:p>
          <w:p w14:paraId="0ADFF82B" w14:textId="77777777" w:rsidR="005A0934" w:rsidRPr="002838F9" w:rsidRDefault="005A0934" w:rsidP="005A0934">
            <w:pPr>
              <w:jc w:val="center"/>
              <w:rPr>
                <w:rFonts w:ascii="Times New Roman" w:hAnsi="Times New Roman" w:cs="Times New Roman"/>
                <w:i/>
                <w:iCs/>
                <w:position w:val="6"/>
                <w:sz w:val="20"/>
                <w:szCs w:val="20"/>
              </w:rPr>
            </w:pPr>
          </w:p>
          <w:p w14:paraId="134A072E" w14:textId="2BAF9B27" w:rsidR="005A0934" w:rsidRPr="002838F9" w:rsidRDefault="005A0934" w:rsidP="005A0934">
            <w:pPr>
              <w:jc w:val="center"/>
              <w:rPr>
                <w:rFonts w:ascii="Times New Roman" w:hAnsi="Times New Roman" w:cs="Times New Roman"/>
                <w:i/>
                <w:iCs/>
                <w:position w:val="6"/>
                <w:sz w:val="20"/>
                <w:szCs w:val="20"/>
              </w:rPr>
            </w:pPr>
            <w:r w:rsidRPr="002838F9">
              <w:rPr>
                <w:rFonts w:ascii="Times New Roman" w:hAnsi="Times New Roman" w:cs="Times New Roman"/>
                <w:i/>
                <w:iCs/>
                <w:position w:val="6"/>
                <w:sz w:val="20"/>
                <w:szCs w:val="20"/>
              </w:rPr>
              <w:t xml:space="preserve">1.  </w:t>
            </w:r>
          </w:p>
        </w:tc>
        <w:tc>
          <w:tcPr>
            <w:tcW w:w="1910" w:type="dxa"/>
            <w:vMerge w:val="restart"/>
            <w:tcBorders>
              <w:top w:val="nil"/>
              <w:left w:val="single" w:sz="4" w:space="0" w:color="auto"/>
              <w:right w:val="single" w:sz="4" w:space="0" w:color="auto"/>
            </w:tcBorders>
            <w:shd w:val="clear" w:color="auto" w:fill="auto"/>
            <w:vAlign w:val="center"/>
          </w:tcPr>
          <w:p w14:paraId="26300E77" w14:textId="59E52C0B" w:rsidR="005A0934" w:rsidRPr="002838F9" w:rsidRDefault="005A0934" w:rsidP="004D7BA1">
            <w:pPr>
              <w:jc w:val="center"/>
              <w:rPr>
                <w:rFonts w:ascii="Times New Roman" w:hAnsi="Times New Roman" w:cs="Times New Roman"/>
                <w:i/>
                <w:iCs/>
                <w:position w:val="6"/>
                <w:sz w:val="20"/>
                <w:szCs w:val="20"/>
              </w:rPr>
            </w:pPr>
            <w:r w:rsidRPr="002838F9">
              <w:rPr>
                <w:rFonts w:ascii="Times New Roman" w:hAnsi="Times New Roman" w:cs="Times New Roman"/>
                <w:i/>
                <w:iCs/>
                <w:position w:val="6"/>
                <w:sz w:val="20"/>
                <w:szCs w:val="20"/>
              </w:rPr>
              <w:t>Działania informacyjne prowadzone za pomocą drogi elektronicznej</w:t>
            </w:r>
          </w:p>
        </w:tc>
        <w:tc>
          <w:tcPr>
            <w:tcW w:w="1992" w:type="dxa"/>
            <w:vMerge w:val="restart"/>
            <w:tcBorders>
              <w:top w:val="nil"/>
              <w:left w:val="nil"/>
              <w:right w:val="single" w:sz="4" w:space="0" w:color="auto"/>
            </w:tcBorders>
            <w:shd w:val="clear" w:color="auto" w:fill="auto"/>
            <w:vAlign w:val="center"/>
          </w:tcPr>
          <w:p w14:paraId="1CA7C153"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 xml:space="preserve">Informowanie drogą elektroniczną o konkursach, konsultacjach społecznych </w:t>
            </w:r>
            <w:r w:rsidRPr="002838F9">
              <w:rPr>
                <w:rFonts w:ascii="Times New Roman" w:hAnsi="Times New Roman" w:cs="Times New Roman"/>
                <w:position w:val="6"/>
                <w:sz w:val="20"/>
                <w:szCs w:val="20"/>
              </w:rPr>
              <w:br/>
              <w:t>i wydarzeniach organizowanych przez LGD.</w:t>
            </w:r>
          </w:p>
        </w:tc>
        <w:tc>
          <w:tcPr>
            <w:tcW w:w="1699" w:type="dxa"/>
            <w:vMerge w:val="restart"/>
            <w:tcBorders>
              <w:top w:val="nil"/>
              <w:left w:val="nil"/>
              <w:right w:val="single" w:sz="4" w:space="0" w:color="auto"/>
            </w:tcBorders>
            <w:shd w:val="clear" w:color="auto" w:fill="auto"/>
            <w:vAlign w:val="center"/>
          </w:tcPr>
          <w:p w14:paraId="6AB05BAD"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 xml:space="preserve">podmioty wskazane w grupach docelowych standardu minimum (pkt. 1-6) </w:t>
            </w:r>
          </w:p>
        </w:tc>
        <w:tc>
          <w:tcPr>
            <w:tcW w:w="2073" w:type="dxa"/>
            <w:vMerge w:val="restart"/>
            <w:tcBorders>
              <w:top w:val="nil"/>
              <w:left w:val="nil"/>
              <w:right w:val="single" w:sz="4" w:space="0" w:color="auto"/>
            </w:tcBorders>
            <w:shd w:val="clear" w:color="auto" w:fill="auto"/>
          </w:tcPr>
          <w:p w14:paraId="0AB9E37A" w14:textId="73D61158"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Stworzenie (lub prowadzenie) bazy mailowej oraz dodanie Newsletter do strony internetowej LGD (lub kontynuacja jego wysyłki jeśli LGD posiada newsletter), media społecznościowe np. Facebook, Instagram</w:t>
            </w:r>
          </w:p>
        </w:tc>
        <w:tc>
          <w:tcPr>
            <w:tcW w:w="1945" w:type="dxa"/>
            <w:tcBorders>
              <w:top w:val="nil"/>
              <w:left w:val="nil"/>
              <w:bottom w:val="single" w:sz="4" w:space="0" w:color="auto"/>
              <w:right w:val="single" w:sz="4" w:space="0" w:color="auto"/>
            </w:tcBorders>
            <w:shd w:val="clear" w:color="auto" w:fill="auto"/>
            <w:vAlign w:val="center"/>
          </w:tcPr>
          <w:p w14:paraId="18587AD1"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min. 4 wydania NEWSLETTERA w roku</w:t>
            </w:r>
          </w:p>
        </w:tc>
        <w:tc>
          <w:tcPr>
            <w:tcW w:w="2490" w:type="dxa"/>
            <w:tcBorders>
              <w:top w:val="nil"/>
              <w:left w:val="nil"/>
              <w:bottom w:val="single" w:sz="4" w:space="0" w:color="auto"/>
              <w:right w:val="single" w:sz="4" w:space="0" w:color="auto"/>
            </w:tcBorders>
            <w:shd w:val="clear" w:color="auto" w:fill="auto"/>
            <w:vAlign w:val="center"/>
          </w:tcPr>
          <w:p w14:paraId="156C5FF2" w14:textId="4B360E79"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min. 40 osób/podmiotów/adresów zapisanych do Newsletter</w:t>
            </w:r>
          </w:p>
        </w:tc>
      </w:tr>
      <w:tr w:rsidR="005A0934" w:rsidRPr="002838F9" w14:paraId="31B0C715" w14:textId="77777777" w:rsidTr="005A0934">
        <w:trPr>
          <w:trHeight w:val="1230"/>
          <w:jc w:val="right"/>
        </w:trPr>
        <w:tc>
          <w:tcPr>
            <w:tcW w:w="630" w:type="dxa"/>
            <w:vMerge/>
            <w:tcBorders>
              <w:left w:val="single" w:sz="4" w:space="0" w:color="auto"/>
              <w:bottom w:val="single" w:sz="4" w:space="0" w:color="auto"/>
              <w:right w:val="single" w:sz="4" w:space="0" w:color="auto"/>
            </w:tcBorders>
          </w:tcPr>
          <w:p w14:paraId="0EC60B66" w14:textId="77777777" w:rsidR="005A0934" w:rsidRPr="002838F9" w:rsidRDefault="005A0934" w:rsidP="004D7BA1">
            <w:pPr>
              <w:jc w:val="center"/>
              <w:rPr>
                <w:rFonts w:ascii="Times New Roman" w:hAnsi="Times New Roman" w:cs="Times New Roman"/>
                <w:i/>
                <w:iCs/>
                <w:position w:val="6"/>
                <w:sz w:val="20"/>
                <w:szCs w:val="20"/>
              </w:rPr>
            </w:pPr>
          </w:p>
        </w:tc>
        <w:tc>
          <w:tcPr>
            <w:tcW w:w="1910" w:type="dxa"/>
            <w:vMerge/>
            <w:tcBorders>
              <w:left w:val="single" w:sz="4" w:space="0" w:color="auto"/>
              <w:bottom w:val="single" w:sz="4" w:space="0" w:color="auto"/>
              <w:right w:val="single" w:sz="4" w:space="0" w:color="auto"/>
            </w:tcBorders>
            <w:shd w:val="clear" w:color="auto" w:fill="auto"/>
            <w:vAlign w:val="center"/>
          </w:tcPr>
          <w:p w14:paraId="78A05F47" w14:textId="1A022CA1" w:rsidR="005A0934" w:rsidRPr="002838F9" w:rsidRDefault="005A0934" w:rsidP="004D7BA1">
            <w:pPr>
              <w:jc w:val="center"/>
              <w:rPr>
                <w:rFonts w:ascii="Times New Roman" w:hAnsi="Times New Roman" w:cs="Times New Roman"/>
                <w:i/>
                <w:iCs/>
                <w:position w:val="6"/>
                <w:sz w:val="20"/>
                <w:szCs w:val="20"/>
              </w:rPr>
            </w:pPr>
          </w:p>
        </w:tc>
        <w:tc>
          <w:tcPr>
            <w:tcW w:w="1992" w:type="dxa"/>
            <w:vMerge/>
            <w:tcBorders>
              <w:left w:val="nil"/>
              <w:bottom w:val="single" w:sz="4" w:space="0" w:color="auto"/>
              <w:right w:val="single" w:sz="4" w:space="0" w:color="auto"/>
            </w:tcBorders>
            <w:shd w:val="clear" w:color="auto" w:fill="auto"/>
            <w:vAlign w:val="center"/>
          </w:tcPr>
          <w:p w14:paraId="3B741FCE" w14:textId="77777777" w:rsidR="005A0934" w:rsidRPr="002838F9" w:rsidRDefault="005A0934" w:rsidP="004D7BA1">
            <w:pPr>
              <w:jc w:val="center"/>
              <w:rPr>
                <w:rFonts w:ascii="Times New Roman" w:hAnsi="Times New Roman" w:cs="Times New Roman"/>
                <w:position w:val="6"/>
                <w:sz w:val="20"/>
                <w:szCs w:val="20"/>
              </w:rPr>
            </w:pPr>
          </w:p>
        </w:tc>
        <w:tc>
          <w:tcPr>
            <w:tcW w:w="1699" w:type="dxa"/>
            <w:vMerge/>
            <w:tcBorders>
              <w:left w:val="nil"/>
              <w:bottom w:val="single" w:sz="4" w:space="0" w:color="auto"/>
              <w:right w:val="single" w:sz="4" w:space="0" w:color="auto"/>
            </w:tcBorders>
            <w:shd w:val="clear" w:color="auto" w:fill="auto"/>
            <w:vAlign w:val="center"/>
          </w:tcPr>
          <w:p w14:paraId="70F4E2CC" w14:textId="77777777" w:rsidR="005A0934" w:rsidRPr="002838F9" w:rsidRDefault="005A0934" w:rsidP="004D7BA1">
            <w:pPr>
              <w:jc w:val="center"/>
              <w:rPr>
                <w:rFonts w:ascii="Times New Roman" w:hAnsi="Times New Roman" w:cs="Times New Roman"/>
                <w:position w:val="6"/>
                <w:sz w:val="20"/>
                <w:szCs w:val="20"/>
              </w:rPr>
            </w:pPr>
          </w:p>
        </w:tc>
        <w:tc>
          <w:tcPr>
            <w:tcW w:w="2073" w:type="dxa"/>
            <w:vMerge/>
            <w:tcBorders>
              <w:left w:val="nil"/>
              <w:bottom w:val="single" w:sz="4" w:space="0" w:color="auto"/>
              <w:right w:val="single" w:sz="4" w:space="0" w:color="auto"/>
            </w:tcBorders>
            <w:shd w:val="clear" w:color="auto" w:fill="auto"/>
            <w:vAlign w:val="center"/>
          </w:tcPr>
          <w:p w14:paraId="7DAD9874" w14:textId="77777777" w:rsidR="005A0934" w:rsidRPr="002838F9" w:rsidRDefault="005A0934" w:rsidP="004D7BA1">
            <w:pPr>
              <w:jc w:val="center"/>
              <w:rPr>
                <w:rFonts w:ascii="Times New Roman" w:hAnsi="Times New Roman" w:cs="Times New Roman"/>
                <w:position w:val="6"/>
                <w:sz w:val="20"/>
                <w:szCs w:val="20"/>
              </w:rPr>
            </w:pPr>
          </w:p>
        </w:tc>
        <w:tc>
          <w:tcPr>
            <w:tcW w:w="1945" w:type="dxa"/>
            <w:tcBorders>
              <w:top w:val="single" w:sz="4" w:space="0" w:color="auto"/>
              <w:left w:val="nil"/>
              <w:bottom w:val="single" w:sz="4" w:space="0" w:color="auto"/>
              <w:right w:val="single" w:sz="4" w:space="0" w:color="auto"/>
            </w:tcBorders>
            <w:shd w:val="clear" w:color="auto" w:fill="auto"/>
            <w:vAlign w:val="center"/>
          </w:tcPr>
          <w:p w14:paraId="07BE8D29"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Co najmniej 1 z mediów społecznościowych</w:t>
            </w:r>
          </w:p>
        </w:tc>
        <w:tc>
          <w:tcPr>
            <w:tcW w:w="2490" w:type="dxa"/>
            <w:tcBorders>
              <w:top w:val="single" w:sz="4" w:space="0" w:color="auto"/>
              <w:left w:val="nil"/>
              <w:bottom w:val="single" w:sz="4" w:space="0" w:color="auto"/>
              <w:right w:val="single" w:sz="4" w:space="0" w:color="auto"/>
            </w:tcBorders>
            <w:shd w:val="clear" w:color="auto" w:fill="auto"/>
            <w:vAlign w:val="center"/>
          </w:tcPr>
          <w:p w14:paraId="343A0A7A"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min. 4 różne aktywności w każdym miesiącu</w:t>
            </w:r>
          </w:p>
        </w:tc>
      </w:tr>
      <w:tr w:rsidR="005A0934" w:rsidRPr="002838F9" w14:paraId="124EBC25" w14:textId="77777777" w:rsidTr="005A0934">
        <w:trPr>
          <w:jc w:val="right"/>
        </w:trPr>
        <w:tc>
          <w:tcPr>
            <w:tcW w:w="630" w:type="dxa"/>
            <w:tcBorders>
              <w:top w:val="nil"/>
              <w:left w:val="single" w:sz="4" w:space="0" w:color="auto"/>
              <w:bottom w:val="single" w:sz="4" w:space="0" w:color="auto"/>
              <w:right w:val="single" w:sz="4" w:space="0" w:color="auto"/>
            </w:tcBorders>
            <w:shd w:val="clear" w:color="000000" w:fill="F2F2F2"/>
          </w:tcPr>
          <w:p w14:paraId="64B9A9CA" w14:textId="77777777" w:rsidR="005A0934" w:rsidRPr="002838F9" w:rsidRDefault="005A0934" w:rsidP="004D7BA1">
            <w:pPr>
              <w:jc w:val="center"/>
              <w:rPr>
                <w:rFonts w:ascii="Times New Roman" w:hAnsi="Times New Roman" w:cs="Times New Roman"/>
                <w:i/>
                <w:iCs/>
                <w:position w:val="6"/>
                <w:sz w:val="20"/>
                <w:szCs w:val="20"/>
              </w:rPr>
            </w:pPr>
          </w:p>
          <w:p w14:paraId="1F010F17" w14:textId="77777777" w:rsidR="005A0934" w:rsidRPr="002838F9" w:rsidRDefault="005A0934" w:rsidP="004D7BA1">
            <w:pPr>
              <w:jc w:val="center"/>
              <w:rPr>
                <w:rFonts w:ascii="Times New Roman" w:hAnsi="Times New Roman" w:cs="Times New Roman"/>
                <w:i/>
                <w:iCs/>
                <w:position w:val="6"/>
                <w:sz w:val="20"/>
                <w:szCs w:val="20"/>
              </w:rPr>
            </w:pPr>
          </w:p>
          <w:p w14:paraId="25F17ABE" w14:textId="77777777" w:rsidR="005A0934" w:rsidRPr="002838F9" w:rsidRDefault="005A0934" w:rsidP="004D7BA1">
            <w:pPr>
              <w:jc w:val="center"/>
              <w:rPr>
                <w:rFonts w:ascii="Times New Roman" w:hAnsi="Times New Roman" w:cs="Times New Roman"/>
                <w:i/>
                <w:iCs/>
                <w:position w:val="6"/>
                <w:sz w:val="20"/>
                <w:szCs w:val="20"/>
              </w:rPr>
            </w:pPr>
          </w:p>
          <w:p w14:paraId="3163D6D7" w14:textId="77777777" w:rsidR="005A0934" w:rsidRPr="002838F9" w:rsidRDefault="005A0934" w:rsidP="004D7BA1">
            <w:pPr>
              <w:jc w:val="center"/>
              <w:rPr>
                <w:rFonts w:ascii="Times New Roman" w:hAnsi="Times New Roman" w:cs="Times New Roman"/>
                <w:i/>
                <w:iCs/>
                <w:position w:val="6"/>
                <w:sz w:val="20"/>
                <w:szCs w:val="20"/>
              </w:rPr>
            </w:pPr>
          </w:p>
          <w:p w14:paraId="2B405AD8" w14:textId="3BFE99EC" w:rsidR="005A0934" w:rsidRPr="002838F9" w:rsidRDefault="005A0934" w:rsidP="004D7BA1">
            <w:pPr>
              <w:jc w:val="center"/>
              <w:rPr>
                <w:rFonts w:ascii="Times New Roman" w:hAnsi="Times New Roman" w:cs="Times New Roman"/>
                <w:i/>
                <w:iCs/>
                <w:position w:val="6"/>
                <w:sz w:val="20"/>
                <w:szCs w:val="20"/>
              </w:rPr>
            </w:pPr>
            <w:r w:rsidRPr="002838F9">
              <w:rPr>
                <w:rFonts w:ascii="Times New Roman" w:hAnsi="Times New Roman" w:cs="Times New Roman"/>
                <w:i/>
                <w:iCs/>
                <w:position w:val="6"/>
                <w:sz w:val="20"/>
                <w:szCs w:val="20"/>
              </w:rPr>
              <w:t>2.</w:t>
            </w:r>
          </w:p>
        </w:tc>
        <w:tc>
          <w:tcPr>
            <w:tcW w:w="1910" w:type="dxa"/>
            <w:tcBorders>
              <w:top w:val="nil"/>
              <w:left w:val="single" w:sz="4" w:space="0" w:color="auto"/>
              <w:bottom w:val="single" w:sz="4" w:space="0" w:color="auto"/>
              <w:right w:val="single" w:sz="4" w:space="0" w:color="auto"/>
            </w:tcBorders>
            <w:shd w:val="clear" w:color="000000" w:fill="F2F2F2"/>
            <w:vAlign w:val="center"/>
          </w:tcPr>
          <w:p w14:paraId="65D24585" w14:textId="5EAFFCA7" w:rsidR="005A0934" w:rsidRPr="002838F9" w:rsidRDefault="005A0934" w:rsidP="004D7BA1">
            <w:pPr>
              <w:jc w:val="center"/>
              <w:rPr>
                <w:rFonts w:ascii="Times New Roman" w:hAnsi="Times New Roman" w:cs="Times New Roman"/>
                <w:i/>
                <w:iCs/>
                <w:position w:val="6"/>
                <w:sz w:val="20"/>
                <w:szCs w:val="20"/>
              </w:rPr>
            </w:pPr>
            <w:r w:rsidRPr="002838F9">
              <w:rPr>
                <w:rFonts w:ascii="Times New Roman" w:hAnsi="Times New Roman" w:cs="Times New Roman"/>
                <w:i/>
                <w:iCs/>
                <w:position w:val="6"/>
                <w:sz w:val="20"/>
                <w:szCs w:val="20"/>
              </w:rPr>
              <w:t xml:space="preserve">Działania </w:t>
            </w:r>
            <w:proofErr w:type="spellStart"/>
            <w:r w:rsidRPr="002838F9">
              <w:rPr>
                <w:rFonts w:ascii="Times New Roman" w:hAnsi="Times New Roman" w:cs="Times New Roman"/>
                <w:i/>
                <w:iCs/>
                <w:position w:val="6"/>
                <w:sz w:val="20"/>
                <w:szCs w:val="20"/>
              </w:rPr>
              <w:t>promocyjno</w:t>
            </w:r>
            <w:proofErr w:type="spellEnd"/>
            <w:r w:rsidRPr="002838F9">
              <w:rPr>
                <w:rFonts w:ascii="Times New Roman" w:hAnsi="Times New Roman" w:cs="Times New Roman"/>
                <w:i/>
                <w:iCs/>
                <w:position w:val="6"/>
                <w:sz w:val="20"/>
                <w:szCs w:val="20"/>
              </w:rPr>
              <w:t xml:space="preserve"> - animacyjne</w:t>
            </w:r>
          </w:p>
        </w:tc>
        <w:tc>
          <w:tcPr>
            <w:tcW w:w="1992" w:type="dxa"/>
            <w:tcBorders>
              <w:top w:val="nil"/>
              <w:left w:val="nil"/>
              <w:bottom w:val="single" w:sz="4" w:space="0" w:color="auto"/>
              <w:right w:val="single" w:sz="4" w:space="0" w:color="auto"/>
            </w:tcBorders>
            <w:shd w:val="clear" w:color="000000" w:fill="F2F2F2"/>
            <w:vAlign w:val="center"/>
          </w:tcPr>
          <w:p w14:paraId="4EC1F7CD"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 xml:space="preserve">Informowanie  o działaniach LGD oraz wsparciu, którego udzieliło LGD , jak również informowanie  o rocznym harmonogramie ogłaszania konkursów. </w:t>
            </w:r>
          </w:p>
        </w:tc>
        <w:tc>
          <w:tcPr>
            <w:tcW w:w="1699" w:type="dxa"/>
            <w:tcBorders>
              <w:top w:val="nil"/>
              <w:left w:val="nil"/>
              <w:bottom w:val="single" w:sz="4" w:space="0" w:color="auto"/>
              <w:right w:val="single" w:sz="4" w:space="0" w:color="auto"/>
            </w:tcBorders>
            <w:shd w:val="clear" w:color="000000" w:fill="F2F2F2"/>
            <w:vAlign w:val="center"/>
          </w:tcPr>
          <w:p w14:paraId="024C5050"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mieszkańcy obszaru LSR</w:t>
            </w:r>
          </w:p>
        </w:tc>
        <w:tc>
          <w:tcPr>
            <w:tcW w:w="2073" w:type="dxa"/>
            <w:tcBorders>
              <w:top w:val="nil"/>
              <w:left w:val="nil"/>
              <w:bottom w:val="single" w:sz="4" w:space="0" w:color="auto"/>
              <w:right w:val="single" w:sz="4" w:space="0" w:color="auto"/>
            </w:tcBorders>
            <w:shd w:val="clear" w:color="000000" w:fill="F2F2F2"/>
            <w:vAlign w:val="center"/>
          </w:tcPr>
          <w:p w14:paraId="5790FA4D" w14:textId="77777777" w:rsidR="005A0934"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Organizacja otwartego wydarzenia (np. festynu, konferencji, rajdu rowerowego, konkursu kulinarnego, itp.) dla społeczności z obszaru LSR</w:t>
            </w:r>
          </w:p>
          <w:p w14:paraId="283F63F8" w14:textId="26E6AB55" w:rsidR="004829C1" w:rsidRDefault="004829C1" w:rsidP="004D7BA1">
            <w:pPr>
              <w:jc w:val="center"/>
              <w:rPr>
                <w:rFonts w:ascii="Times New Roman" w:hAnsi="Times New Roman" w:cs="Times New Roman"/>
                <w:position w:val="6"/>
                <w:sz w:val="20"/>
                <w:szCs w:val="20"/>
              </w:rPr>
            </w:pPr>
            <w:r>
              <w:rPr>
                <w:rFonts w:ascii="Times New Roman" w:hAnsi="Times New Roman" w:cs="Times New Roman"/>
                <w:position w:val="6"/>
                <w:sz w:val="20"/>
                <w:szCs w:val="20"/>
              </w:rPr>
              <w:t>Lub</w:t>
            </w:r>
          </w:p>
          <w:p w14:paraId="44B1C290" w14:textId="01A87F4F" w:rsidR="004829C1" w:rsidRPr="002838F9" w:rsidRDefault="004829C1" w:rsidP="004D7BA1">
            <w:pPr>
              <w:jc w:val="center"/>
              <w:rPr>
                <w:rFonts w:ascii="Times New Roman" w:hAnsi="Times New Roman" w:cs="Times New Roman"/>
                <w:position w:val="6"/>
                <w:sz w:val="20"/>
                <w:szCs w:val="20"/>
              </w:rPr>
            </w:pPr>
            <w:r>
              <w:rPr>
                <w:rFonts w:ascii="Times New Roman" w:hAnsi="Times New Roman" w:cs="Times New Roman"/>
                <w:position w:val="6"/>
                <w:sz w:val="20"/>
                <w:szCs w:val="20"/>
              </w:rPr>
              <w:t>MPI – Mobilny Punkt Informacyjny RLKS</w:t>
            </w:r>
          </w:p>
        </w:tc>
        <w:tc>
          <w:tcPr>
            <w:tcW w:w="1945" w:type="dxa"/>
            <w:tcBorders>
              <w:top w:val="nil"/>
              <w:left w:val="nil"/>
              <w:bottom w:val="single" w:sz="4" w:space="0" w:color="auto"/>
              <w:right w:val="single" w:sz="4" w:space="0" w:color="auto"/>
            </w:tcBorders>
            <w:shd w:val="clear" w:color="000000" w:fill="F2F2F2"/>
            <w:vAlign w:val="center"/>
          </w:tcPr>
          <w:p w14:paraId="7E40A393" w14:textId="77777777" w:rsidR="00DC3BBF"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min. 1 wydarzenie w roku</w:t>
            </w:r>
          </w:p>
          <w:p w14:paraId="0ACD916E" w14:textId="15F2796D" w:rsidR="005A0934" w:rsidRPr="00565E89" w:rsidRDefault="00DC3BBF" w:rsidP="004D7BA1">
            <w:pPr>
              <w:jc w:val="center"/>
              <w:rPr>
                <w:rFonts w:ascii="Times New Roman" w:hAnsi="Times New Roman" w:cs="Times New Roman"/>
                <w:b/>
                <w:bCs/>
                <w:position w:val="6"/>
                <w:sz w:val="20"/>
                <w:szCs w:val="20"/>
              </w:rPr>
            </w:pPr>
            <w:r w:rsidRPr="00565E89">
              <w:rPr>
                <w:rFonts w:ascii="Times New Roman" w:hAnsi="Times New Roman" w:cs="Times New Roman"/>
                <w:b/>
                <w:bCs/>
                <w:position w:val="6"/>
                <w:sz w:val="20"/>
                <w:szCs w:val="20"/>
              </w:rPr>
              <w:t>lub</w:t>
            </w:r>
            <w:r w:rsidR="005A0934" w:rsidRPr="00565E89">
              <w:rPr>
                <w:rFonts w:ascii="Times New Roman" w:hAnsi="Times New Roman" w:cs="Times New Roman"/>
                <w:b/>
                <w:bCs/>
                <w:position w:val="6"/>
                <w:sz w:val="20"/>
                <w:szCs w:val="20"/>
              </w:rPr>
              <w:t xml:space="preserve"> </w:t>
            </w:r>
          </w:p>
          <w:p w14:paraId="7281DC50" w14:textId="7AB5BA64" w:rsidR="004829C1" w:rsidRPr="002838F9" w:rsidRDefault="004829C1" w:rsidP="004D7BA1">
            <w:pPr>
              <w:jc w:val="center"/>
              <w:rPr>
                <w:rFonts w:ascii="Times New Roman" w:hAnsi="Times New Roman" w:cs="Times New Roman"/>
                <w:position w:val="6"/>
                <w:sz w:val="20"/>
                <w:szCs w:val="20"/>
              </w:rPr>
            </w:pPr>
            <w:r>
              <w:rPr>
                <w:rFonts w:ascii="Times New Roman" w:hAnsi="Times New Roman" w:cs="Times New Roman"/>
                <w:position w:val="6"/>
                <w:sz w:val="20"/>
                <w:szCs w:val="20"/>
              </w:rPr>
              <w:t>min. 3  MPI</w:t>
            </w:r>
          </w:p>
        </w:tc>
        <w:tc>
          <w:tcPr>
            <w:tcW w:w="2490" w:type="dxa"/>
            <w:tcBorders>
              <w:top w:val="nil"/>
              <w:left w:val="nil"/>
              <w:bottom w:val="single" w:sz="4" w:space="0" w:color="auto"/>
              <w:right w:val="single" w:sz="4" w:space="0" w:color="auto"/>
            </w:tcBorders>
            <w:shd w:val="clear" w:color="000000" w:fill="F2F2F2"/>
            <w:vAlign w:val="center"/>
          </w:tcPr>
          <w:p w14:paraId="6208A7EE" w14:textId="28469250" w:rsidR="005A0934" w:rsidRDefault="004829C1" w:rsidP="004D7BA1">
            <w:pPr>
              <w:jc w:val="center"/>
              <w:rPr>
                <w:rFonts w:ascii="Times New Roman" w:hAnsi="Times New Roman" w:cs="Times New Roman"/>
                <w:i/>
                <w:iCs/>
                <w:position w:val="6"/>
                <w:sz w:val="20"/>
                <w:szCs w:val="20"/>
              </w:rPr>
            </w:pPr>
            <w:r>
              <w:rPr>
                <w:rFonts w:ascii="Times New Roman" w:hAnsi="Times New Roman" w:cs="Times New Roman"/>
                <w:position w:val="6"/>
                <w:sz w:val="20"/>
                <w:szCs w:val="20"/>
              </w:rPr>
              <w:t xml:space="preserve">- </w:t>
            </w:r>
            <w:r w:rsidR="005A0934" w:rsidRPr="002838F9">
              <w:rPr>
                <w:rFonts w:ascii="Times New Roman" w:hAnsi="Times New Roman" w:cs="Times New Roman"/>
                <w:position w:val="6"/>
                <w:sz w:val="20"/>
                <w:szCs w:val="20"/>
              </w:rPr>
              <w:t>min. 150 uczestników otwartego wydarzenia</w:t>
            </w:r>
            <w:r>
              <w:rPr>
                <w:rFonts w:ascii="Times New Roman" w:hAnsi="Times New Roman" w:cs="Times New Roman"/>
                <w:position w:val="6"/>
                <w:sz w:val="20"/>
                <w:szCs w:val="20"/>
              </w:rPr>
              <w:t>/wydarzeń/MPI</w:t>
            </w:r>
            <w:r w:rsidR="005A0934" w:rsidRPr="002838F9">
              <w:rPr>
                <w:rFonts w:ascii="Times New Roman" w:hAnsi="Times New Roman" w:cs="Times New Roman"/>
                <w:position w:val="6"/>
                <w:sz w:val="20"/>
                <w:szCs w:val="20"/>
              </w:rPr>
              <w:t xml:space="preserve"> w każdym roku </w:t>
            </w:r>
            <w:r w:rsidR="005A0934" w:rsidRPr="002838F9">
              <w:rPr>
                <w:rFonts w:ascii="Times New Roman" w:hAnsi="Times New Roman" w:cs="Times New Roman"/>
                <w:position w:val="6"/>
                <w:sz w:val="20"/>
                <w:szCs w:val="20"/>
              </w:rPr>
              <w:br/>
            </w:r>
            <w:r w:rsidR="005A0934" w:rsidRPr="002838F9">
              <w:rPr>
                <w:rFonts w:ascii="Times New Roman" w:hAnsi="Times New Roman" w:cs="Times New Roman"/>
                <w:i/>
                <w:iCs/>
                <w:position w:val="6"/>
                <w:sz w:val="20"/>
                <w:szCs w:val="20"/>
              </w:rPr>
              <w:t>(w przypadku organizacji więcej niż jednego wydarzenia w roku liczba uczestników wydarzeń sumuje się)</w:t>
            </w:r>
          </w:p>
          <w:p w14:paraId="52BEC5F8" w14:textId="4C0FB8FE" w:rsidR="004829C1" w:rsidRDefault="004829C1" w:rsidP="004D7BA1">
            <w:pPr>
              <w:jc w:val="center"/>
              <w:rPr>
                <w:rFonts w:ascii="Times New Roman" w:hAnsi="Times New Roman" w:cs="Times New Roman"/>
                <w:i/>
                <w:iCs/>
                <w:position w:val="6"/>
                <w:sz w:val="20"/>
                <w:szCs w:val="20"/>
              </w:rPr>
            </w:pPr>
            <w:r>
              <w:rPr>
                <w:rFonts w:ascii="Times New Roman" w:hAnsi="Times New Roman" w:cs="Times New Roman"/>
                <w:i/>
                <w:iCs/>
                <w:position w:val="6"/>
                <w:sz w:val="20"/>
                <w:szCs w:val="20"/>
              </w:rPr>
              <w:t>-MPI – sprawozdanie- opracowanie własne LGD</w:t>
            </w:r>
          </w:p>
          <w:p w14:paraId="7AEDDD46" w14:textId="77777777" w:rsidR="004829C1" w:rsidRPr="002838F9" w:rsidRDefault="004829C1" w:rsidP="004D7BA1">
            <w:pPr>
              <w:jc w:val="center"/>
              <w:rPr>
                <w:rFonts w:ascii="Times New Roman" w:hAnsi="Times New Roman" w:cs="Times New Roman"/>
                <w:position w:val="6"/>
                <w:sz w:val="20"/>
                <w:szCs w:val="20"/>
              </w:rPr>
            </w:pPr>
          </w:p>
        </w:tc>
      </w:tr>
      <w:tr w:rsidR="005A0934" w:rsidRPr="002838F9" w14:paraId="6BC8644B" w14:textId="77777777" w:rsidTr="005A0934">
        <w:trPr>
          <w:trHeight w:val="1071"/>
          <w:jc w:val="right"/>
        </w:trPr>
        <w:tc>
          <w:tcPr>
            <w:tcW w:w="630" w:type="dxa"/>
            <w:tcBorders>
              <w:top w:val="nil"/>
              <w:left w:val="single" w:sz="4" w:space="0" w:color="auto"/>
              <w:right w:val="single" w:sz="4" w:space="0" w:color="auto"/>
            </w:tcBorders>
          </w:tcPr>
          <w:p w14:paraId="4A10B943" w14:textId="77777777" w:rsidR="005A0934" w:rsidRPr="002838F9" w:rsidRDefault="005A0934" w:rsidP="004D7BA1">
            <w:pPr>
              <w:jc w:val="center"/>
              <w:rPr>
                <w:rFonts w:ascii="Times New Roman" w:hAnsi="Times New Roman" w:cs="Times New Roman"/>
                <w:i/>
                <w:iCs/>
                <w:position w:val="6"/>
                <w:sz w:val="20"/>
                <w:szCs w:val="20"/>
              </w:rPr>
            </w:pPr>
          </w:p>
          <w:p w14:paraId="5F4347C3" w14:textId="77777777" w:rsidR="005A0934" w:rsidRPr="002838F9" w:rsidRDefault="005A0934" w:rsidP="004D7BA1">
            <w:pPr>
              <w:jc w:val="center"/>
              <w:rPr>
                <w:rFonts w:ascii="Times New Roman" w:hAnsi="Times New Roman" w:cs="Times New Roman"/>
                <w:i/>
                <w:iCs/>
                <w:position w:val="6"/>
                <w:sz w:val="20"/>
                <w:szCs w:val="20"/>
              </w:rPr>
            </w:pPr>
          </w:p>
          <w:p w14:paraId="28422EEB" w14:textId="77777777" w:rsidR="005A0934" w:rsidRPr="002838F9" w:rsidRDefault="005A0934" w:rsidP="004D7BA1">
            <w:pPr>
              <w:jc w:val="center"/>
              <w:rPr>
                <w:rFonts w:ascii="Times New Roman" w:hAnsi="Times New Roman" w:cs="Times New Roman"/>
                <w:i/>
                <w:iCs/>
                <w:position w:val="6"/>
                <w:sz w:val="20"/>
                <w:szCs w:val="20"/>
              </w:rPr>
            </w:pPr>
          </w:p>
          <w:p w14:paraId="691D181B" w14:textId="605ADFD6" w:rsidR="005A0934" w:rsidRPr="002838F9" w:rsidRDefault="005A0934" w:rsidP="005A0934">
            <w:pPr>
              <w:rPr>
                <w:rFonts w:ascii="Times New Roman" w:hAnsi="Times New Roman" w:cs="Times New Roman"/>
                <w:i/>
                <w:iCs/>
                <w:position w:val="6"/>
                <w:sz w:val="20"/>
                <w:szCs w:val="20"/>
              </w:rPr>
            </w:pPr>
            <w:r w:rsidRPr="002838F9">
              <w:rPr>
                <w:rFonts w:ascii="Times New Roman" w:hAnsi="Times New Roman" w:cs="Times New Roman"/>
                <w:i/>
                <w:iCs/>
                <w:position w:val="6"/>
                <w:sz w:val="20"/>
                <w:szCs w:val="20"/>
              </w:rPr>
              <w:t xml:space="preserve">  3.</w:t>
            </w:r>
          </w:p>
        </w:tc>
        <w:tc>
          <w:tcPr>
            <w:tcW w:w="1910" w:type="dxa"/>
            <w:vMerge w:val="restart"/>
            <w:tcBorders>
              <w:top w:val="nil"/>
              <w:left w:val="single" w:sz="4" w:space="0" w:color="auto"/>
              <w:right w:val="single" w:sz="4" w:space="0" w:color="auto"/>
            </w:tcBorders>
            <w:shd w:val="clear" w:color="auto" w:fill="auto"/>
            <w:vAlign w:val="center"/>
          </w:tcPr>
          <w:p w14:paraId="719498B4" w14:textId="5EE9E968" w:rsidR="005A0934" w:rsidRPr="002838F9" w:rsidRDefault="005A0934" w:rsidP="004D7BA1">
            <w:pPr>
              <w:jc w:val="center"/>
              <w:rPr>
                <w:rFonts w:ascii="Times New Roman" w:hAnsi="Times New Roman" w:cs="Times New Roman"/>
                <w:i/>
                <w:iCs/>
                <w:position w:val="6"/>
                <w:sz w:val="20"/>
                <w:szCs w:val="20"/>
              </w:rPr>
            </w:pPr>
            <w:r w:rsidRPr="002838F9">
              <w:rPr>
                <w:rFonts w:ascii="Times New Roman" w:hAnsi="Times New Roman" w:cs="Times New Roman"/>
                <w:i/>
                <w:iCs/>
                <w:position w:val="6"/>
                <w:sz w:val="20"/>
                <w:szCs w:val="20"/>
              </w:rPr>
              <w:t>Działania informacyjno-konsultacyjne</w:t>
            </w:r>
          </w:p>
        </w:tc>
        <w:tc>
          <w:tcPr>
            <w:tcW w:w="1992" w:type="dxa"/>
            <w:vMerge w:val="restart"/>
            <w:tcBorders>
              <w:top w:val="nil"/>
              <w:left w:val="nil"/>
              <w:right w:val="single" w:sz="4" w:space="0" w:color="auto"/>
            </w:tcBorders>
            <w:shd w:val="clear" w:color="auto" w:fill="auto"/>
            <w:vAlign w:val="center"/>
          </w:tcPr>
          <w:p w14:paraId="6CB3133F"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 xml:space="preserve">Informowanie o rocznym harmonogramie ogłaszania </w:t>
            </w:r>
            <w:r w:rsidRPr="002838F9">
              <w:rPr>
                <w:rFonts w:ascii="Times New Roman" w:hAnsi="Times New Roman" w:cs="Times New Roman"/>
                <w:position w:val="6"/>
                <w:sz w:val="20"/>
                <w:szCs w:val="20"/>
              </w:rPr>
              <w:lastRenderedPageBreak/>
              <w:t xml:space="preserve">konkursów oraz przekazywani informacji o zasadach przeprowadzenia tych konkursów. </w:t>
            </w:r>
          </w:p>
        </w:tc>
        <w:tc>
          <w:tcPr>
            <w:tcW w:w="1699" w:type="dxa"/>
            <w:vMerge w:val="restart"/>
            <w:tcBorders>
              <w:top w:val="nil"/>
              <w:left w:val="nil"/>
              <w:right w:val="single" w:sz="4" w:space="0" w:color="auto"/>
            </w:tcBorders>
            <w:shd w:val="clear" w:color="auto" w:fill="auto"/>
            <w:vAlign w:val="center"/>
          </w:tcPr>
          <w:p w14:paraId="2CF63A6B"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lastRenderedPageBreak/>
              <w:t xml:space="preserve">m.in. lokalni liderzy,  przedstawiciele organizacji </w:t>
            </w:r>
            <w:r w:rsidRPr="002838F9">
              <w:rPr>
                <w:rFonts w:ascii="Times New Roman" w:hAnsi="Times New Roman" w:cs="Times New Roman"/>
                <w:position w:val="6"/>
                <w:sz w:val="20"/>
                <w:szCs w:val="20"/>
              </w:rPr>
              <w:lastRenderedPageBreak/>
              <w:t>pozarządowych, instytucji kultury i/lub edukacyjnych,  instytucji działających na rzecz osób w niekorzystnej sytuacji społecznej, przedsiębiorców</w:t>
            </w:r>
          </w:p>
        </w:tc>
        <w:tc>
          <w:tcPr>
            <w:tcW w:w="2073" w:type="dxa"/>
            <w:tcBorders>
              <w:top w:val="nil"/>
              <w:left w:val="nil"/>
              <w:bottom w:val="single" w:sz="4" w:space="0" w:color="auto"/>
              <w:right w:val="single" w:sz="4" w:space="0" w:color="auto"/>
            </w:tcBorders>
            <w:shd w:val="clear" w:color="auto" w:fill="auto"/>
          </w:tcPr>
          <w:p w14:paraId="0764A514" w14:textId="77777777" w:rsidR="005526C2" w:rsidRDefault="005526C2" w:rsidP="004D7BA1">
            <w:pPr>
              <w:jc w:val="center"/>
              <w:rPr>
                <w:rFonts w:ascii="Times New Roman" w:hAnsi="Times New Roman" w:cs="Times New Roman"/>
                <w:position w:val="6"/>
                <w:sz w:val="20"/>
                <w:szCs w:val="20"/>
              </w:rPr>
            </w:pPr>
          </w:p>
          <w:p w14:paraId="7D2BEF50" w14:textId="2628D448"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Organizacja Forum generalnego LGD</w:t>
            </w:r>
          </w:p>
        </w:tc>
        <w:tc>
          <w:tcPr>
            <w:tcW w:w="1945" w:type="dxa"/>
            <w:tcBorders>
              <w:top w:val="nil"/>
              <w:left w:val="nil"/>
              <w:bottom w:val="single" w:sz="4" w:space="0" w:color="auto"/>
              <w:right w:val="single" w:sz="4" w:space="0" w:color="auto"/>
            </w:tcBorders>
            <w:shd w:val="clear" w:color="auto" w:fill="auto"/>
          </w:tcPr>
          <w:p w14:paraId="1988C51A" w14:textId="018F30B1"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 xml:space="preserve"> min. 1 spotkanie w roku </w:t>
            </w:r>
          </w:p>
        </w:tc>
        <w:tc>
          <w:tcPr>
            <w:tcW w:w="2490" w:type="dxa"/>
            <w:tcBorders>
              <w:top w:val="nil"/>
              <w:left w:val="nil"/>
              <w:bottom w:val="single" w:sz="4" w:space="0" w:color="auto"/>
              <w:right w:val="single" w:sz="4" w:space="0" w:color="auto"/>
            </w:tcBorders>
            <w:shd w:val="clear" w:color="auto" w:fill="auto"/>
          </w:tcPr>
          <w:p w14:paraId="2EFE45CC" w14:textId="61EE8C7E"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Źródło pomiaru lista obecności i raport</w:t>
            </w:r>
          </w:p>
        </w:tc>
      </w:tr>
      <w:tr w:rsidR="005A0934" w:rsidRPr="002838F9" w14:paraId="3A369FCB" w14:textId="77777777" w:rsidTr="005A0934">
        <w:trPr>
          <w:trHeight w:val="768"/>
          <w:jc w:val="right"/>
        </w:trPr>
        <w:tc>
          <w:tcPr>
            <w:tcW w:w="630" w:type="dxa"/>
            <w:tcBorders>
              <w:left w:val="single" w:sz="4" w:space="0" w:color="auto"/>
              <w:bottom w:val="single" w:sz="4" w:space="0" w:color="auto"/>
              <w:right w:val="single" w:sz="4" w:space="0" w:color="auto"/>
            </w:tcBorders>
          </w:tcPr>
          <w:p w14:paraId="157FEACE" w14:textId="77777777" w:rsidR="005A0934" w:rsidRPr="002838F9" w:rsidRDefault="005A0934" w:rsidP="004D7BA1">
            <w:pPr>
              <w:jc w:val="center"/>
              <w:rPr>
                <w:rFonts w:ascii="Times New Roman" w:hAnsi="Times New Roman" w:cs="Times New Roman"/>
                <w:i/>
                <w:iCs/>
                <w:position w:val="6"/>
                <w:sz w:val="20"/>
                <w:szCs w:val="20"/>
              </w:rPr>
            </w:pPr>
          </w:p>
        </w:tc>
        <w:tc>
          <w:tcPr>
            <w:tcW w:w="1910" w:type="dxa"/>
            <w:vMerge/>
            <w:tcBorders>
              <w:left w:val="single" w:sz="4" w:space="0" w:color="auto"/>
              <w:bottom w:val="single" w:sz="4" w:space="0" w:color="auto"/>
              <w:right w:val="single" w:sz="4" w:space="0" w:color="auto"/>
            </w:tcBorders>
            <w:shd w:val="clear" w:color="auto" w:fill="auto"/>
            <w:vAlign w:val="center"/>
          </w:tcPr>
          <w:p w14:paraId="01BC9280" w14:textId="1C32ABE3" w:rsidR="005A0934" w:rsidRPr="002838F9" w:rsidRDefault="005A0934" w:rsidP="004D7BA1">
            <w:pPr>
              <w:jc w:val="center"/>
              <w:rPr>
                <w:rFonts w:ascii="Times New Roman" w:hAnsi="Times New Roman" w:cs="Times New Roman"/>
                <w:i/>
                <w:iCs/>
                <w:position w:val="6"/>
                <w:sz w:val="20"/>
                <w:szCs w:val="20"/>
              </w:rPr>
            </w:pPr>
          </w:p>
        </w:tc>
        <w:tc>
          <w:tcPr>
            <w:tcW w:w="1992" w:type="dxa"/>
            <w:vMerge/>
            <w:tcBorders>
              <w:left w:val="nil"/>
              <w:bottom w:val="single" w:sz="4" w:space="0" w:color="auto"/>
              <w:right w:val="single" w:sz="4" w:space="0" w:color="auto"/>
            </w:tcBorders>
            <w:shd w:val="clear" w:color="auto" w:fill="auto"/>
            <w:vAlign w:val="center"/>
          </w:tcPr>
          <w:p w14:paraId="3A4CF8B7" w14:textId="77777777" w:rsidR="005A0934" w:rsidRPr="002838F9" w:rsidRDefault="005A0934" w:rsidP="004D7BA1">
            <w:pPr>
              <w:jc w:val="center"/>
              <w:rPr>
                <w:rFonts w:ascii="Times New Roman" w:hAnsi="Times New Roman" w:cs="Times New Roman"/>
                <w:position w:val="6"/>
                <w:sz w:val="20"/>
                <w:szCs w:val="20"/>
              </w:rPr>
            </w:pPr>
          </w:p>
        </w:tc>
        <w:tc>
          <w:tcPr>
            <w:tcW w:w="1699" w:type="dxa"/>
            <w:vMerge/>
            <w:tcBorders>
              <w:left w:val="nil"/>
              <w:bottom w:val="single" w:sz="4" w:space="0" w:color="auto"/>
              <w:right w:val="single" w:sz="4" w:space="0" w:color="auto"/>
            </w:tcBorders>
            <w:shd w:val="clear" w:color="auto" w:fill="auto"/>
            <w:vAlign w:val="center"/>
          </w:tcPr>
          <w:p w14:paraId="35EE5183" w14:textId="77777777" w:rsidR="005A0934" w:rsidRPr="002838F9" w:rsidRDefault="005A0934" w:rsidP="004D7BA1">
            <w:pPr>
              <w:jc w:val="center"/>
              <w:rPr>
                <w:rFonts w:ascii="Times New Roman" w:hAnsi="Times New Roman" w:cs="Times New Roman"/>
                <w:position w:val="6"/>
                <w:sz w:val="20"/>
                <w:szCs w:val="20"/>
              </w:rPr>
            </w:pPr>
          </w:p>
        </w:tc>
        <w:tc>
          <w:tcPr>
            <w:tcW w:w="2073" w:type="dxa"/>
            <w:tcBorders>
              <w:top w:val="single" w:sz="4" w:space="0" w:color="auto"/>
              <w:left w:val="nil"/>
              <w:bottom w:val="single" w:sz="4" w:space="0" w:color="auto"/>
              <w:right w:val="single" w:sz="4" w:space="0" w:color="auto"/>
            </w:tcBorders>
            <w:shd w:val="clear" w:color="auto" w:fill="auto"/>
            <w:vAlign w:val="center"/>
          </w:tcPr>
          <w:p w14:paraId="12B9CE95"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Organizacja spotkania informacyjno-konsultacyjnego   obszaru LSR.</w:t>
            </w:r>
          </w:p>
        </w:tc>
        <w:tc>
          <w:tcPr>
            <w:tcW w:w="1945" w:type="dxa"/>
            <w:tcBorders>
              <w:top w:val="single" w:sz="4" w:space="0" w:color="auto"/>
              <w:left w:val="nil"/>
              <w:bottom w:val="single" w:sz="4" w:space="0" w:color="auto"/>
              <w:right w:val="single" w:sz="4" w:space="0" w:color="auto"/>
            </w:tcBorders>
            <w:shd w:val="clear" w:color="auto" w:fill="auto"/>
            <w:vAlign w:val="center"/>
          </w:tcPr>
          <w:p w14:paraId="7D36E23F"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Min. 1 spotkanie w roku w każdej gminie: 10 gmin</w:t>
            </w:r>
          </w:p>
        </w:tc>
        <w:tc>
          <w:tcPr>
            <w:tcW w:w="2490" w:type="dxa"/>
            <w:tcBorders>
              <w:top w:val="single" w:sz="4" w:space="0" w:color="auto"/>
              <w:left w:val="nil"/>
              <w:bottom w:val="single" w:sz="4" w:space="0" w:color="auto"/>
              <w:right w:val="single" w:sz="4" w:space="0" w:color="auto"/>
            </w:tcBorders>
            <w:shd w:val="clear" w:color="auto" w:fill="auto"/>
            <w:vAlign w:val="center"/>
          </w:tcPr>
          <w:p w14:paraId="3D928CF6" w14:textId="4A0F4854"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Źródło pomiaru lista obecności i raport</w:t>
            </w:r>
          </w:p>
        </w:tc>
      </w:tr>
      <w:tr w:rsidR="005A0934" w:rsidRPr="002838F9" w14:paraId="51A6D693" w14:textId="77777777" w:rsidTr="005A0934">
        <w:trPr>
          <w:jc w:val="right"/>
        </w:trPr>
        <w:tc>
          <w:tcPr>
            <w:tcW w:w="630" w:type="dxa"/>
            <w:tcBorders>
              <w:top w:val="nil"/>
              <w:left w:val="single" w:sz="4" w:space="0" w:color="auto"/>
              <w:bottom w:val="single" w:sz="4" w:space="0" w:color="auto"/>
              <w:right w:val="single" w:sz="4" w:space="0" w:color="auto"/>
            </w:tcBorders>
            <w:shd w:val="clear" w:color="000000" w:fill="F2F2F2"/>
          </w:tcPr>
          <w:p w14:paraId="72D97ED5" w14:textId="77777777" w:rsidR="005A0934" w:rsidRPr="002838F9" w:rsidRDefault="005A0934" w:rsidP="004D7BA1">
            <w:pPr>
              <w:jc w:val="center"/>
              <w:rPr>
                <w:rFonts w:ascii="Times New Roman" w:hAnsi="Times New Roman" w:cs="Times New Roman"/>
                <w:i/>
                <w:iCs/>
                <w:position w:val="6"/>
                <w:sz w:val="20"/>
                <w:szCs w:val="20"/>
              </w:rPr>
            </w:pPr>
          </w:p>
          <w:p w14:paraId="62775D09" w14:textId="77777777" w:rsidR="005A0934" w:rsidRPr="002838F9" w:rsidRDefault="005A0934" w:rsidP="004D7BA1">
            <w:pPr>
              <w:jc w:val="center"/>
              <w:rPr>
                <w:rFonts w:ascii="Times New Roman" w:hAnsi="Times New Roman" w:cs="Times New Roman"/>
                <w:i/>
                <w:iCs/>
                <w:position w:val="6"/>
                <w:sz w:val="20"/>
                <w:szCs w:val="20"/>
              </w:rPr>
            </w:pPr>
          </w:p>
          <w:p w14:paraId="5E43634C" w14:textId="77777777" w:rsidR="005A0934" w:rsidRPr="002838F9" w:rsidRDefault="005A0934" w:rsidP="004D7BA1">
            <w:pPr>
              <w:jc w:val="center"/>
              <w:rPr>
                <w:rFonts w:ascii="Times New Roman" w:hAnsi="Times New Roman" w:cs="Times New Roman"/>
                <w:i/>
                <w:iCs/>
                <w:position w:val="6"/>
                <w:sz w:val="20"/>
                <w:szCs w:val="20"/>
              </w:rPr>
            </w:pPr>
          </w:p>
          <w:p w14:paraId="2F3E6BD1" w14:textId="77777777" w:rsidR="005A0934" w:rsidRPr="002838F9" w:rsidRDefault="005A0934" w:rsidP="004D7BA1">
            <w:pPr>
              <w:jc w:val="center"/>
              <w:rPr>
                <w:rFonts w:ascii="Times New Roman" w:hAnsi="Times New Roman" w:cs="Times New Roman"/>
                <w:i/>
                <w:iCs/>
                <w:position w:val="6"/>
                <w:sz w:val="20"/>
                <w:szCs w:val="20"/>
              </w:rPr>
            </w:pPr>
          </w:p>
          <w:p w14:paraId="090944DB" w14:textId="77777777" w:rsidR="005A0934" w:rsidRPr="002838F9" w:rsidRDefault="005A0934" w:rsidP="004D7BA1">
            <w:pPr>
              <w:jc w:val="center"/>
              <w:rPr>
                <w:rFonts w:ascii="Times New Roman" w:hAnsi="Times New Roman" w:cs="Times New Roman"/>
                <w:i/>
                <w:iCs/>
                <w:position w:val="6"/>
                <w:sz w:val="20"/>
                <w:szCs w:val="20"/>
              </w:rPr>
            </w:pPr>
          </w:p>
          <w:p w14:paraId="675A053E" w14:textId="77777777" w:rsidR="005A0934" w:rsidRPr="002838F9" w:rsidRDefault="005A0934" w:rsidP="004D7BA1">
            <w:pPr>
              <w:jc w:val="center"/>
              <w:rPr>
                <w:rFonts w:ascii="Times New Roman" w:hAnsi="Times New Roman" w:cs="Times New Roman"/>
                <w:i/>
                <w:iCs/>
                <w:position w:val="6"/>
                <w:sz w:val="20"/>
                <w:szCs w:val="20"/>
              </w:rPr>
            </w:pPr>
          </w:p>
          <w:p w14:paraId="141E8877" w14:textId="77777777" w:rsidR="005A0934" w:rsidRPr="002838F9" w:rsidRDefault="005A0934" w:rsidP="004D7BA1">
            <w:pPr>
              <w:jc w:val="center"/>
              <w:rPr>
                <w:rFonts w:ascii="Times New Roman" w:hAnsi="Times New Roman" w:cs="Times New Roman"/>
                <w:i/>
                <w:iCs/>
                <w:position w:val="6"/>
                <w:sz w:val="20"/>
                <w:szCs w:val="20"/>
              </w:rPr>
            </w:pPr>
          </w:p>
          <w:p w14:paraId="4E17A72C" w14:textId="77777777" w:rsidR="005A0934" w:rsidRPr="002838F9" w:rsidRDefault="005A0934" w:rsidP="004D7BA1">
            <w:pPr>
              <w:jc w:val="center"/>
              <w:rPr>
                <w:rFonts w:ascii="Times New Roman" w:hAnsi="Times New Roman" w:cs="Times New Roman"/>
                <w:i/>
                <w:iCs/>
                <w:position w:val="6"/>
                <w:sz w:val="20"/>
                <w:szCs w:val="20"/>
              </w:rPr>
            </w:pPr>
          </w:p>
          <w:p w14:paraId="34EDD02B" w14:textId="77777777" w:rsidR="005A0934" w:rsidRPr="002838F9" w:rsidRDefault="005A0934" w:rsidP="004D7BA1">
            <w:pPr>
              <w:jc w:val="center"/>
              <w:rPr>
                <w:rFonts w:ascii="Times New Roman" w:hAnsi="Times New Roman" w:cs="Times New Roman"/>
                <w:i/>
                <w:iCs/>
                <w:position w:val="6"/>
                <w:sz w:val="20"/>
                <w:szCs w:val="20"/>
              </w:rPr>
            </w:pPr>
          </w:p>
          <w:p w14:paraId="4A60F7CD" w14:textId="7C7523DD" w:rsidR="005A0934" w:rsidRPr="002838F9" w:rsidRDefault="005A0934" w:rsidP="004D7BA1">
            <w:pPr>
              <w:jc w:val="center"/>
              <w:rPr>
                <w:rFonts w:ascii="Times New Roman" w:hAnsi="Times New Roman" w:cs="Times New Roman"/>
                <w:i/>
                <w:iCs/>
                <w:position w:val="6"/>
                <w:sz w:val="20"/>
                <w:szCs w:val="20"/>
              </w:rPr>
            </w:pPr>
            <w:r w:rsidRPr="002838F9">
              <w:rPr>
                <w:rFonts w:ascii="Times New Roman" w:hAnsi="Times New Roman" w:cs="Times New Roman"/>
                <w:i/>
                <w:iCs/>
                <w:position w:val="6"/>
                <w:sz w:val="20"/>
                <w:szCs w:val="20"/>
              </w:rPr>
              <w:t>4.</w:t>
            </w:r>
          </w:p>
        </w:tc>
        <w:tc>
          <w:tcPr>
            <w:tcW w:w="1910" w:type="dxa"/>
            <w:tcBorders>
              <w:top w:val="nil"/>
              <w:left w:val="single" w:sz="4" w:space="0" w:color="auto"/>
              <w:bottom w:val="single" w:sz="4" w:space="0" w:color="auto"/>
              <w:right w:val="single" w:sz="4" w:space="0" w:color="auto"/>
            </w:tcBorders>
            <w:shd w:val="clear" w:color="000000" w:fill="F2F2F2"/>
            <w:vAlign w:val="center"/>
          </w:tcPr>
          <w:p w14:paraId="5C9D1433" w14:textId="675FAD69" w:rsidR="005A0934" w:rsidRPr="002838F9" w:rsidRDefault="005A0934" w:rsidP="004D7BA1">
            <w:pPr>
              <w:jc w:val="center"/>
              <w:rPr>
                <w:rFonts w:ascii="Times New Roman" w:hAnsi="Times New Roman" w:cs="Times New Roman"/>
                <w:i/>
                <w:iCs/>
                <w:position w:val="6"/>
                <w:sz w:val="20"/>
                <w:szCs w:val="20"/>
              </w:rPr>
            </w:pPr>
            <w:r w:rsidRPr="002838F9">
              <w:rPr>
                <w:rFonts w:ascii="Times New Roman" w:hAnsi="Times New Roman" w:cs="Times New Roman"/>
                <w:i/>
                <w:iCs/>
                <w:position w:val="6"/>
                <w:sz w:val="20"/>
                <w:szCs w:val="20"/>
              </w:rPr>
              <w:t>Działania komunikacyjne w ramach spotkań bezpośrednich</w:t>
            </w:r>
          </w:p>
        </w:tc>
        <w:tc>
          <w:tcPr>
            <w:tcW w:w="1992" w:type="dxa"/>
            <w:tcBorders>
              <w:top w:val="nil"/>
              <w:left w:val="nil"/>
              <w:bottom w:val="single" w:sz="4" w:space="0" w:color="auto"/>
              <w:right w:val="single" w:sz="4" w:space="0" w:color="auto"/>
            </w:tcBorders>
            <w:shd w:val="clear" w:color="000000" w:fill="F2F2F2"/>
            <w:vAlign w:val="center"/>
          </w:tcPr>
          <w:p w14:paraId="111CC01F"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Rozpowszechnianie informacji o szczegółowych zasadach przyznania pomocy w ramach LSR.</w:t>
            </w:r>
          </w:p>
        </w:tc>
        <w:tc>
          <w:tcPr>
            <w:tcW w:w="1699" w:type="dxa"/>
            <w:tcBorders>
              <w:top w:val="nil"/>
              <w:left w:val="nil"/>
              <w:bottom w:val="single" w:sz="4" w:space="0" w:color="auto"/>
              <w:right w:val="single" w:sz="4" w:space="0" w:color="auto"/>
            </w:tcBorders>
            <w:shd w:val="clear" w:color="000000" w:fill="F2F2F2"/>
            <w:vAlign w:val="center"/>
          </w:tcPr>
          <w:p w14:paraId="170325B4"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 xml:space="preserve">potencjalni wnioskodawcy/ </w:t>
            </w:r>
            <w:proofErr w:type="spellStart"/>
            <w:r w:rsidRPr="002838F9">
              <w:rPr>
                <w:rFonts w:ascii="Times New Roman" w:hAnsi="Times New Roman" w:cs="Times New Roman"/>
                <w:position w:val="6"/>
                <w:sz w:val="20"/>
                <w:szCs w:val="20"/>
              </w:rPr>
              <w:t>grantobiorcy</w:t>
            </w:r>
            <w:proofErr w:type="spellEnd"/>
          </w:p>
        </w:tc>
        <w:tc>
          <w:tcPr>
            <w:tcW w:w="2073" w:type="dxa"/>
            <w:tcBorders>
              <w:top w:val="nil"/>
              <w:left w:val="nil"/>
              <w:bottom w:val="single" w:sz="4" w:space="0" w:color="auto"/>
              <w:right w:val="single" w:sz="4" w:space="0" w:color="auto"/>
            </w:tcBorders>
            <w:shd w:val="clear" w:color="000000" w:fill="F2F2F2"/>
            <w:vAlign w:val="center"/>
          </w:tcPr>
          <w:p w14:paraId="6ECA25F5"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 xml:space="preserve">Organizacja bezpłatnych szkoleń w zakresie zasad przyznawania pomocy i/lub wypełniania wniosku o przyznanie pomocy/powierzenie grantu przed ogłoszeniem każdego konkursu lub w trakcie trwania ogłoszenia. Dopuszcza się  możliwość prowadzenia szkoleń, które swoją tematyką (zakresem) będą obejmować więcej niż jeden konkurs.  </w:t>
            </w:r>
          </w:p>
        </w:tc>
        <w:tc>
          <w:tcPr>
            <w:tcW w:w="1945" w:type="dxa"/>
            <w:tcBorders>
              <w:top w:val="nil"/>
              <w:left w:val="nil"/>
              <w:bottom w:val="single" w:sz="4" w:space="0" w:color="auto"/>
              <w:right w:val="single" w:sz="4" w:space="0" w:color="auto"/>
            </w:tcBorders>
            <w:shd w:val="clear" w:color="000000" w:fill="F2F2F2"/>
            <w:vAlign w:val="center"/>
          </w:tcPr>
          <w:p w14:paraId="5C1F115A"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min. 1 szkolenie/część szkolenia dot. każdego ogłaszanego konkursu</w:t>
            </w:r>
          </w:p>
        </w:tc>
        <w:tc>
          <w:tcPr>
            <w:tcW w:w="2490" w:type="dxa"/>
            <w:tcBorders>
              <w:top w:val="nil"/>
              <w:left w:val="nil"/>
              <w:bottom w:val="single" w:sz="4" w:space="0" w:color="auto"/>
              <w:right w:val="single" w:sz="4" w:space="0" w:color="auto"/>
            </w:tcBorders>
            <w:shd w:val="clear" w:color="000000" w:fill="F2F2F2"/>
            <w:vAlign w:val="center"/>
          </w:tcPr>
          <w:p w14:paraId="2EE99285"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min. 10 przeszkolonych osób</w:t>
            </w:r>
          </w:p>
        </w:tc>
      </w:tr>
      <w:tr w:rsidR="005A0934" w:rsidRPr="002838F9" w14:paraId="50169D26" w14:textId="77777777" w:rsidTr="005A0934">
        <w:trPr>
          <w:jc w:val="right"/>
        </w:trPr>
        <w:tc>
          <w:tcPr>
            <w:tcW w:w="630" w:type="dxa"/>
            <w:tcBorders>
              <w:top w:val="nil"/>
              <w:left w:val="single" w:sz="4" w:space="0" w:color="auto"/>
              <w:bottom w:val="single" w:sz="4" w:space="0" w:color="auto"/>
              <w:right w:val="single" w:sz="4" w:space="0" w:color="auto"/>
            </w:tcBorders>
          </w:tcPr>
          <w:p w14:paraId="03E99D18" w14:textId="77777777" w:rsidR="005A0934" w:rsidRPr="002838F9" w:rsidRDefault="005A0934" w:rsidP="004D7BA1">
            <w:pPr>
              <w:jc w:val="center"/>
              <w:rPr>
                <w:rFonts w:ascii="Times New Roman" w:hAnsi="Times New Roman" w:cs="Times New Roman"/>
                <w:i/>
                <w:iCs/>
                <w:position w:val="6"/>
                <w:sz w:val="20"/>
                <w:szCs w:val="20"/>
              </w:rPr>
            </w:pPr>
          </w:p>
        </w:tc>
        <w:tc>
          <w:tcPr>
            <w:tcW w:w="1910" w:type="dxa"/>
            <w:tcBorders>
              <w:top w:val="nil"/>
              <w:left w:val="single" w:sz="4" w:space="0" w:color="auto"/>
              <w:bottom w:val="single" w:sz="4" w:space="0" w:color="auto"/>
              <w:right w:val="single" w:sz="4" w:space="0" w:color="auto"/>
            </w:tcBorders>
            <w:shd w:val="clear" w:color="auto" w:fill="auto"/>
            <w:vAlign w:val="center"/>
          </w:tcPr>
          <w:p w14:paraId="0882B294" w14:textId="050F5136" w:rsidR="005A0934" w:rsidRPr="002838F9" w:rsidRDefault="005A0934" w:rsidP="004D7BA1">
            <w:pPr>
              <w:jc w:val="center"/>
              <w:rPr>
                <w:rFonts w:ascii="Times New Roman" w:hAnsi="Times New Roman" w:cs="Times New Roman"/>
                <w:i/>
                <w:iCs/>
                <w:position w:val="6"/>
                <w:sz w:val="20"/>
                <w:szCs w:val="20"/>
              </w:rPr>
            </w:pPr>
            <w:r w:rsidRPr="002838F9">
              <w:rPr>
                <w:rFonts w:ascii="Times New Roman" w:hAnsi="Times New Roman" w:cs="Times New Roman"/>
                <w:i/>
                <w:iCs/>
                <w:position w:val="6"/>
                <w:sz w:val="20"/>
                <w:szCs w:val="20"/>
              </w:rPr>
              <w:t>Działania informacyjne prowadzone za pomocą strony internetowej</w:t>
            </w:r>
          </w:p>
        </w:tc>
        <w:tc>
          <w:tcPr>
            <w:tcW w:w="1992" w:type="dxa"/>
            <w:tcBorders>
              <w:top w:val="nil"/>
              <w:left w:val="nil"/>
              <w:bottom w:val="single" w:sz="4" w:space="0" w:color="auto"/>
              <w:right w:val="single" w:sz="4" w:space="0" w:color="auto"/>
            </w:tcBorders>
            <w:shd w:val="clear" w:color="auto" w:fill="auto"/>
            <w:vAlign w:val="center"/>
          </w:tcPr>
          <w:p w14:paraId="19097DD5"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 xml:space="preserve">Informowanie o rocznym harmonogramie ogłaszania konkursów oraz wynikach naborów, promowanie </w:t>
            </w:r>
            <w:r w:rsidRPr="002838F9">
              <w:rPr>
                <w:rFonts w:ascii="Times New Roman" w:hAnsi="Times New Roman" w:cs="Times New Roman"/>
                <w:position w:val="6"/>
                <w:sz w:val="20"/>
                <w:szCs w:val="20"/>
              </w:rPr>
              <w:lastRenderedPageBreak/>
              <w:t>projektów dofinansowanych w ramach LSR.</w:t>
            </w:r>
          </w:p>
        </w:tc>
        <w:tc>
          <w:tcPr>
            <w:tcW w:w="1699" w:type="dxa"/>
            <w:tcBorders>
              <w:top w:val="nil"/>
              <w:left w:val="nil"/>
              <w:bottom w:val="single" w:sz="4" w:space="0" w:color="auto"/>
              <w:right w:val="single" w:sz="4" w:space="0" w:color="auto"/>
            </w:tcBorders>
            <w:shd w:val="clear" w:color="auto" w:fill="auto"/>
            <w:vAlign w:val="center"/>
          </w:tcPr>
          <w:p w14:paraId="1C2D1259"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lastRenderedPageBreak/>
              <w:t xml:space="preserve">podmioty wskazane w grupach docelowych  standardu minimum (pkt. 1-6) </w:t>
            </w:r>
          </w:p>
        </w:tc>
        <w:tc>
          <w:tcPr>
            <w:tcW w:w="2073" w:type="dxa"/>
            <w:tcBorders>
              <w:top w:val="nil"/>
              <w:left w:val="nil"/>
              <w:bottom w:val="single" w:sz="4" w:space="0" w:color="auto"/>
              <w:right w:val="single" w:sz="4" w:space="0" w:color="auto"/>
            </w:tcBorders>
            <w:shd w:val="clear" w:color="auto" w:fill="auto"/>
            <w:vAlign w:val="center"/>
          </w:tcPr>
          <w:p w14:paraId="08259C21"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Prowadzenie strony internetowej LGD, gdzie w sposób czytelny i przejrzysty zapewniony zostanie dostęp do informacji o:</w:t>
            </w:r>
            <w:r w:rsidRPr="002838F9">
              <w:rPr>
                <w:rFonts w:ascii="Times New Roman" w:hAnsi="Times New Roman" w:cs="Times New Roman"/>
                <w:position w:val="6"/>
                <w:sz w:val="20"/>
                <w:szCs w:val="20"/>
              </w:rPr>
              <w:br/>
            </w:r>
            <w:r w:rsidRPr="002838F9">
              <w:rPr>
                <w:rFonts w:ascii="Times New Roman" w:hAnsi="Times New Roman" w:cs="Times New Roman"/>
                <w:position w:val="6"/>
                <w:sz w:val="20"/>
                <w:szCs w:val="20"/>
              </w:rPr>
              <w:lastRenderedPageBreak/>
              <w:t>- aktualnym harmonogramie naborów;</w:t>
            </w:r>
            <w:r w:rsidRPr="002838F9">
              <w:rPr>
                <w:rFonts w:ascii="Times New Roman" w:hAnsi="Times New Roman" w:cs="Times New Roman"/>
                <w:position w:val="6"/>
                <w:sz w:val="20"/>
                <w:szCs w:val="20"/>
              </w:rPr>
              <w:br/>
              <w:t>- wynikach konkursów już przeprowadzonych;</w:t>
            </w:r>
            <w:r w:rsidRPr="002838F9">
              <w:rPr>
                <w:rFonts w:ascii="Times New Roman" w:hAnsi="Times New Roman" w:cs="Times New Roman"/>
                <w:position w:val="6"/>
                <w:sz w:val="20"/>
                <w:szCs w:val="20"/>
              </w:rPr>
              <w:br/>
              <w:t>- wszystkich zrealizowanych projektach w zakresie LSR w ramach EFS+ wraz z relacją zdjęciową.</w:t>
            </w:r>
            <w:r w:rsidRPr="002838F9">
              <w:rPr>
                <w:rFonts w:ascii="Times New Roman" w:hAnsi="Times New Roman" w:cs="Times New Roman"/>
                <w:position w:val="6"/>
                <w:sz w:val="20"/>
                <w:szCs w:val="20"/>
              </w:rPr>
              <w:br/>
              <w:t>Do ostatniego dnia czerwca każdego roku realizacji LSR zamieszczone zostanie na stronie roczne sprawozdanie z wdrażania LSR za poprzedni rok.</w:t>
            </w:r>
          </w:p>
        </w:tc>
        <w:tc>
          <w:tcPr>
            <w:tcW w:w="1945" w:type="dxa"/>
            <w:tcBorders>
              <w:top w:val="nil"/>
              <w:left w:val="nil"/>
              <w:bottom w:val="single" w:sz="4" w:space="0" w:color="auto"/>
              <w:right w:val="single" w:sz="4" w:space="0" w:color="auto"/>
            </w:tcBorders>
            <w:shd w:val="clear" w:color="auto" w:fill="auto"/>
            <w:vAlign w:val="center"/>
          </w:tcPr>
          <w:p w14:paraId="25E34F85"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lastRenderedPageBreak/>
              <w:t>min. 1 aktywna strona internetowa prowadzona przez LGD</w:t>
            </w:r>
          </w:p>
        </w:tc>
        <w:tc>
          <w:tcPr>
            <w:tcW w:w="2490" w:type="dxa"/>
            <w:tcBorders>
              <w:top w:val="nil"/>
              <w:left w:val="nil"/>
              <w:bottom w:val="single" w:sz="4" w:space="0" w:color="auto"/>
              <w:right w:val="single" w:sz="4" w:space="0" w:color="auto"/>
            </w:tcBorders>
            <w:shd w:val="clear" w:color="auto" w:fill="auto"/>
            <w:vAlign w:val="center"/>
          </w:tcPr>
          <w:p w14:paraId="1C6E5744" w14:textId="0B7EBD9E"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 xml:space="preserve">min. </w:t>
            </w:r>
            <w:r w:rsidR="00F95DA1">
              <w:rPr>
                <w:rFonts w:ascii="Times New Roman" w:hAnsi="Times New Roman" w:cs="Times New Roman"/>
                <w:position w:val="6"/>
                <w:sz w:val="20"/>
                <w:szCs w:val="20"/>
              </w:rPr>
              <w:t>10</w:t>
            </w:r>
            <w:r w:rsidRPr="002838F9">
              <w:rPr>
                <w:rFonts w:ascii="Times New Roman" w:hAnsi="Times New Roman" w:cs="Times New Roman"/>
                <w:position w:val="6"/>
                <w:sz w:val="20"/>
                <w:szCs w:val="20"/>
              </w:rPr>
              <w:t>00 odsłon/wyświetleń strony w ciągu roku</w:t>
            </w:r>
          </w:p>
        </w:tc>
      </w:tr>
      <w:tr w:rsidR="005A0934" w:rsidRPr="002838F9" w14:paraId="1A85FF6C" w14:textId="77777777" w:rsidTr="005A0934">
        <w:trPr>
          <w:jc w:val="right"/>
        </w:trPr>
        <w:tc>
          <w:tcPr>
            <w:tcW w:w="630" w:type="dxa"/>
            <w:tcBorders>
              <w:top w:val="nil"/>
              <w:left w:val="single" w:sz="4" w:space="0" w:color="auto"/>
              <w:bottom w:val="single" w:sz="4" w:space="0" w:color="auto"/>
              <w:right w:val="single" w:sz="4" w:space="0" w:color="auto"/>
            </w:tcBorders>
          </w:tcPr>
          <w:p w14:paraId="56E9298D" w14:textId="77777777" w:rsidR="005A0934" w:rsidRPr="002838F9" w:rsidRDefault="005A0934" w:rsidP="004D7BA1">
            <w:pPr>
              <w:jc w:val="center"/>
              <w:rPr>
                <w:rFonts w:ascii="Times New Roman" w:hAnsi="Times New Roman" w:cs="Times New Roman"/>
                <w:i/>
                <w:iCs/>
                <w:position w:val="6"/>
                <w:sz w:val="20"/>
                <w:szCs w:val="20"/>
              </w:rPr>
            </w:pPr>
          </w:p>
          <w:p w14:paraId="77B2267C" w14:textId="77777777" w:rsidR="005A0934" w:rsidRPr="002838F9" w:rsidRDefault="005A0934" w:rsidP="004D7BA1">
            <w:pPr>
              <w:jc w:val="center"/>
              <w:rPr>
                <w:rFonts w:ascii="Times New Roman" w:hAnsi="Times New Roman" w:cs="Times New Roman"/>
                <w:i/>
                <w:iCs/>
                <w:position w:val="6"/>
                <w:sz w:val="20"/>
                <w:szCs w:val="20"/>
              </w:rPr>
            </w:pPr>
          </w:p>
          <w:p w14:paraId="7D70C477" w14:textId="77777777" w:rsidR="005A0934" w:rsidRPr="002838F9" w:rsidRDefault="005A0934" w:rsidP="004D7BA1">
            <w:pPr>
              <w:jc w:val="center"/>
              <w:rPr>
                <w:rFonts w:ascii="Times New Roman" w:hAnsi="Times New Roman" w:cs="Times New Roman"/>
                <w:i/>
                <w:iCs/>
                <w:position w:val="6"/>
                <w:sz w:val="20"/>
                <w:szCs w:val="20"/>
              </w:rPr>
            </w:pPr>
          </w:p>
          <w:p w14:paraId="74ABB9AA" w14:textId="087B4E20" w:rsidR="005A0934" w:rsidRPr="002838F9" w:rsidRDefault="005A0934" w:rsidP="004D7BA1">
            <w:pPr>
              <w:jc w:val="center"/>
              <w:rPr>
                <w:rFonts w:ascii="Times New Roman" w:hAnsi="Times New Roman" w:cs="Times New Roman"/>
                <w:i/>
                <w:iCs/>
                <w:position w:val="6"/>
                <w:sz w:val="20"/>
                <w:szCs w:val="20"/>
              </w:rPr>
            </w:pPr>
            <w:r w:rsidRPr="002838F9">
              <w:rPr>
                <w:rFonts w:ascii="Times New Roman" w:hAnsi="Times New Roman" w:cs="Times New Roman"/>
                <w:i/>
                <w:iCs/>
                <w:position w:val="6"/>
                <w:sz w:val="20"/>
                <w:szCs w:val="20"/>
              </w:rPr>
              <w:t>5.</w:t>
            </w:r>
          </w:p>
        </w:tc>
        <w:tc>
          <w:tcPr>
            <w:tcW w:w="1910" w:type="dxa"/>
            <w:tcBorders>
              <w:top w:val="nil"/>
              <w:left w:val="single" w:sz="4" w:space="0" w:color="auto"/>
              <w:bottom w:val="single" w:sz="4" w:space="0" w:color="auto"/>
              <w:right w:val="single" w:sz="4" w:space="0" w:color="auto"/>
            </w:tcBorders>
            <w:shd w:val="clear" w:color="auto" w:fill="auto"/>
            <w:vAlign w:val="center"/>
          </w:tcPr>
          <w:p w14:paraId="0E97A5A8" w14:textId="343C54F9" w:rsidR="005A0934" w:rsidRPr="002838F9" w:rsidRDefault="005A0934" w:rsidP="004D7BA1">
            <w:pPr>
              <w:jc w:val="center"/>
              <w:rPr>
                <w:rFonts w:ascii="Times New Roman" w:hAnsi="Times New Roman" w:cs="Times New Roman"/>
                <w:i/>
                <w:iCs/>
                <w:position w:val="6"/>
                <w:sz w:val="20"/>
                <w:szCs w:val="20"/>
              </w:rPr>
            </w:pPr>
            <w:r w:rsidRPr="002838F9">
              <w:rPr>
                <w:rFonts w:ascii="Times New Roman" w:hAnsi="Times New Roman" w:cs="Times New Roman"/>
                <w:i/>
                <w:iCs/>
                <w:position w:val="6"/>
                <w:sz w:val="20"/>
                <w:szCs w:val="20"/>
              </w:rPr>
              <w:t>Działania informacyjne prowadzone za pomocą mediów społecznościowych</w:t>
            </w:r>
          </w:p>
        </w:tc>
        <w:tc>
          <w:tcPr>
            <w:tcW w:w="1992" w:type="dxa"/>
            <w:tcBorders>
              <w:top w:val="nil"/>
              <w:left w:val="nil"/>
              <w:bottom w:val="single" w:sz="4" w:space="0" w:color="auto"/>
              <w:right w:val="single" w:sz="4" w:space="0" w:color="auto"/>
            </w:tcBorders>
            <w:shd w:val="clear" w:color="000000" w:fill="F2F2F2"/>
            <w:vAlign w:val="center"/>
          </w:tcPr>
          <w:p w14:paraId="6ABAD241"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Informowanie o bieżącej działalności LGD.</w:t>
            </w:r>
          </w:p>
        </w:tc>
        <w:tc>
          <w:tcPr>
            <w:tcW w:w="1699" w:type="dxa"/>
            <w:tcBorders>
              <w:top w:val="nil"/>
              <w:left w:val="nil"/>
              <w:bottom w:val="single" w:sz="4" w:space="0" w:color="auto"/>
              <w:right w:val="single" w:sz="4" w:space="0" w:color="auto"/>
            </w:tcBorders>
            <w:shd w:val="clear" w:color="000000" w:fill="F2F2F2"/>
            <w:vAlign w:val="center"/>
          </w:tcPr>
          <w:p w14:paraId="1C20F89C"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 xml:space="preserve">osoby i podmioty wskazane w grupach docelowych  standardu minimum (pkt. 1-6) </w:t>
            </w:r>
          </w:p>
        </w:tc>
        <w:tc>
          <w:tcPr>
            <w:tcW w:w="2073" w:type="dxa"/>
            <w:tcBorders>
              <w:top w:val="nil"/>
              <w:left w:val="nil"/>
              <w:bottom w:val="single" w:sz="4" w:space="0" w:color="auto"/>
              <w:right w:val="single" w:sz="4" w:space="0" w:color="auto"/>
            </w:tcBorders>
            <w:shd w:val="clear" w:color="000000" w:fill="F2F2F2"/>
            <w:vAlign w:val="center"/>
          </w:tcPr>
          <w:p w14:paraId="37EE28DA"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Prowadzenie działań informacyjno-promocyjnych LGD przy użyciu mediów społecznościowych</w:t>
            </w:r>
          </w:p>
        </w:tc>
        <w:tc>
          <w:tcPr>
            <w:tcW w:w="1945" w:type="dxa"/>
            <w:tcBorders>
              <w:top w:val="nil"/>
              <w:left w:val="nil"/>
              <w:bottom w:val="single" w:sz="4" w:space="0" w:color="auto"/>
              <w:right w:val="single" w:sz="4" w:space="0" w:color="auto"/>
            </w:tcBorders>
            <w:shd w:val="clear" w:color="000000" w:fill="F2F2F2"/>
            <w:vAlign w:val="center"/>
          </w:tcPr>
          <w:p w14:paraId="46A2052B"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 xml:space="preserve">min. 1 kanał społecznościowy prowadzony przez LGD np. YouTube, Facebook, Instagram, </w:t>
            </w:r>
            <w:proofErr w:type="spellStart"/>
            <w:r w:rsidRPr="002838F9">
              <w:rPr>
                <w:rFonts w:ascii="Times New Roman" w:hAnsi="Times New Roman" w:cs="Times New Roman"/>
                <w:position w:val="6"/>
                <w:sz w:val="20"/>
                <w:szCs w:val="20"/>
              </w:rPr>
              <w:t>TikTok</w:t>
            </w:r>
            <w:proofErr w:type="spellEnd"/>
          </w:p>
        </w:tc>
        <w:tc>
          <w:tcPr>
            <w:tcW w:w="2490" w:type="dxa"/>
            <w:tcBorders>
              <w:top w:val="nil"/>
              <w:left w:val="nil"/>
              <w:bottom w:val="single" w:sz="4" w:space="0" w:color="auto"/>
              <w:right w:val="single" w:sz="4" w:space="0" w:color="auto"/>
            </w:tcBorders>
            <w:shd w:val="clear" w:color="000000" w:fill="F2F2F2"/>
            <w:vAlign w:val="center"/>
          </w:tcPr>
          <w:p w14:paraId="50AD1185" w14:textId="77777777" w:rsidR="005A0934" w:rsidRPr="002838F9" w:rsidRDefault="005A0934" w:rsidP="004D7BA1">
            <w:pPr>
              <w:jc w:val="center"/>
              <w:rPr>
                <w:rFonts w:ascii="Times New Roman" w:hAnsi="Times New Roman" w:cs="Times New Roman"/>
                <w:position w:val="6"/>
                <w:sz w:val="20"/>
                <w:szCs w:val="20"/>
              </w:rPr>
            </w:pPr>
            <w:r w:rsidRPr="002838F9">
              <w:rPr>
                <w:rFonts w:ascii="Times New Roman" w:hAnsi="Times New Roman" w:cs="Times New Roman"/>
                <w:position w:val="6"/>
                <w:sz w:val="20"/>
                <w:szCs w:val="20"/>
              </w:rPr>
              <w:t>min. 4 różne  aktywności w  każdym miesiącu</w:t>
            </w:r>
          </w:p>
        </w:tc>
      </w:tr>
    </w:tbl>
    <w:p w14:paraId="21A49F7D" w14:textId="77777777" w:rsidR="007C5C1A" w:rsidRPr="002838F9" w:rsidRDefault="007C5C1A" w:rsidP="007C5C1A">
      <w:pPr>
        <w:spacing w:after="0" w:line="240" w:lineRule="auto"/>
        <w:jc w:val="center"/>
        <w:rPr>
          <w:rFonts w:ascii="Times New Roman" w:hAnsi="Times New Roman" w:cs="Times New Roman"/>
          <w:position w:val="6"/>
          <w:sz w:val="20"/>
          <w:szCs w:val="20"/>
        </w:rPr>
      </w:pPr>
    </w:p>
    <w:p w14:paraId="43873C4D" w14:textId="77777777" w:rsidR="007C5C1A" w:rsidRPr="002838F9" w:rsidRDefault="007C5C1A" w:rsidP="007C5C1A">
      <w:pPr>
        <w:spacing w:after="0" w:line="240" w:lineRule="auto"/>
        <w:jc w:val="center"/>
        <w:rPr>
          <w:rFonts w:ascii="Times New Roman" w:hAnsi="Times New Roman" w:cs="Times New Roman"/>
          <w:position w:val="6"/>
          <w:sz w:val="20"/>
          <w:szCs w:val="20"/>
        </w:rPr>
      </w:pPr>
    </w:p>
    <w:p w14:paraId="1BEB6CAA" w14:textId="77777777" w:rsidR="00E71F04" w:rsidRPr="00B1640C" w:rsidRDefault="00E71F04" w:rsidP="00B1640C">
      <w:pPr>
        <w:spacing w:after="0" w:line="360" w:lineRule="auto"/>
        <w:rPr>
          <w:rFonts w:ascii="Times New Roman" w:hAnsi="Times New Roman" w:cs="Times New Roman"/>
          <w:position w:val="6"/>
        </w:rPr>
        <w:sectPr w:rsidR="00E71F04" w:rsidRPr="00B1640C" w:rsidSect="002E2D2E">
          <w:pgSz w:w="16838" w:h="11906" w:orient="landscape"/>
          <w:pgMar w:top="1418" w:right="1418" w:bottom="1418" w:left="1418" w:header="709" w:footer="709" w:gutter="0"/>
          <w:cols w:space="708"/>
          <w:docGrid w:linePitch="360"/>
        </w:sectPr>
      </w:pPr>
    </w:p>
    <w:p w14:paraId="31B46D22" w14:textId="77777777" w:rsidR="00E71F04" w:rsidRPr="00B1640C" w:rsidRDefault="00E71F04" w:rsidP="00A534C8">
      <w:pPr>
        <w:pStyle w:val="Akapitzlist"/>
        <w:numPr>
          <w:ilvl w:val="0"/>
          <w:numId w:val="3"/>
        </w:numPr>
        <w:spacing w:after="0" w:line="360" w:lineRule="auto"/>
        <w:rPr>
          <w:rFonts w:ascii="Times New Roman" w:hAnsi="Times New Roman" w:cs="Times New Roman"/>
          <w:b/>
          <w:bCs/>
          <w:position w:val="6"/>
        </w:rPr>
      </w:pPr>
      <w:r w:rsidRPr="00B1640C">
        <w:rPr>
          <w:rFonts w:ascii="Times New Roman" w:hAnsi="Times New Roman" w:cs="Times New Roman"/>
          <w:b/>
          <w:bCs/>
          <w:position w:val="6"/>
        </w:rPr>
        <w:lastRenderedPageBreak/>
        <w:t>ANALIZA EFEKTWNOŚCI ZASTOSOWANYCH DZIAŁAŃ KOMUNIKACYJNYCH I ŚRODKÓW PRZEKAZU</w:t>
      </w:r>
    </w:p>
    <w:p w14:paraId="71CB6DBE" w14:textId="73450BE7" w:rsidR="00D62937" w:rsidRPr="00B1640C" w:rsidRDefault="003E19F0" w:rsidP="00E71F04">
      <w:pPr>
        <w:spacing w:after="0" w:line="360" w:lineRule="auto"/>
        <w:jc w:val="both"/>
        <w:rPr>
          <w:rFonts w:ascii="Times New Roman" w:hAnsi="Times New Roman" w:cs="Times New Roman"/>
          <w:position w:val="6"/>
        </w:rPr>
      </w:pPr>
      <w:r w:rsidRPr="00B1640C">
        <w:rPr>
          <w:rFonts w:ascii="Times New Roman" w:hAnsi="Times New Roman" w:cs="Times New Roman"/>
          <w:position w:val="6"/>
        </w:rPr>
        <w:t>LGD zakłada, że jednym z działań komunikacyjnych będzie Badanie jakości prowadzonych działań informacyjnych i funkcjonowania LGD. Ponadto na bieżąco kontrolowane będą osiągane wskaźniki zarówno produktu jak i rezultatu założone w strategii komunikacji oraz środki finansowe zaplanowane w budżecie strategii. Badanie pozwoli na ocenę jakości prowadzonych działań informacyjnych, które na bieżąco będą skierowane do wskazanych w planie grup docelowych oraz na ocenę funkcjonowania LGD. W przypadku otrzymania ocen niezadawalających LGD podejmie konsultacje społeczne w celu przeprowadzenia dodatkowych działań komunikacyjnych zapewniających osiągnięcie założonych wskaźników oraz satysfakcję wśród potencjalnych wnioskodawców.</w:t>
      </w:r>
      <w:r w:rsidR="00E71F04" w:rsidRPr="00B1640C">
        <w:rPr>
          <w:rFonts w:ascii="Times New Roman" w:hAnsi="Times New Roman" w:cs="Times New Roman"/>
          <w:position w:val="6"/>
        </w:rPr>
        <w:t xml:space="preserve"> Informacje na temat funkcjonowania LGD zbierane będą  podczas </w:t>
      </w:r>
      <w:r w:rsidR="005B63B9">
        <w:rPr>
          <w:rFonts w:ascii="Times New Roman" w:hAnsi="Times New Roman" w:cs="Times New Roman"/>
          <w:position w:val="6"/>
        </w:rPr>
        <w:t xml:space="preserve">ewaluacji i szkoleń, </w:t>
      </w:r>
      <w:r w:rsidR="00E71F04" w:rsidRPr="00B1640C">
        <w:rPr>
          <w:rFonts w:ascii="Times New Roman" w:hAnsi="Times New Roman" w:cs="Times New Roman"/>
          <w:position w:val="6"/>
        </w:rPr>
        <w:t xml:space="preserve">LGD zachęcać będzie do wzięcia udziału w prowadzonych badaniach ankietowych. Bezpośrednie porady informacyjne prowadzone w biurze LGD skierowane do wszystkich potencjalnie zainteresowanych podmiotów środkami za pośrednictwem LGD będzie poddane bieżącej ocenie jakości podczas świadczonych usług doradczych. Każdy, kto będzie korzystał z porad informacyjnych będzie udzielał informacji na temat jakości otrzymanego świadczenia. Ponadto kwestia jakości prowadzonych usług doradczych będzie również przedmiotem prowadzonego cyklicznie badania jakości.  </w:t>
      </w:r>
    </w:p>
    <w:p w14:paraId="243DFB4D" w14:textId="77777777" w:rsidR="00D62937" w:rsidRPr="00B1640C" w:rsidRDefault="00D62937" w:rsidP="00E71F04">
      <w:pPr>
        <w:spacing w:after="0" w:line="360" w:lineRule="auto"/>
        <w:jc w:val="both"/>
        <w:rPr>
          <w:rFonts w:ascii="Times New Roman" w:hAnsi="Times New Roman" w:cs="Times New Roman"/>
          <w:position w:val="6"/>
        </w:rPr>
      </w:pPr>
    </w:p>
    <w:p w14:paraId="78DE7463" w14:textId="77777777" w:rsidR="00D62937" w:rsidRPr="00B1640C" w:rsidRDefault="00D62937" w:rsidP="00A534C8">
      <w:pPr>
        <w:pStyle w:val="Akapitzlist"/>
        <w:numPr>
          <w:ilvl w:val="0"/>
          <w:numId w:val="3"/>
        </w:numPr>
        <w:spacing w:after="0" w:line="360" w:lineRule="auto"/>
        <w:jc w:val="both"/>
        <w:rPr>
          <w:rFonts w:ascii="Times New Roman" w:hAnsi="Times New Roman" w:cs="Times New Roman"/>
          <w:b/>
          <w:bCs/>
          <w:position w:val="6"/>
        </w:rPr>
      </w:pPr>
      <w:r w:rsidRPr="00B1640C">
        <w:rPr>
          <w:rFonts w:ascii="Times New Roman" w:hAnsi="Times New Roman" w:cs="Times New Roman"/>
          <w:b/>
          <w:bCs/>
          <w:position w:val="6"/>
        </w:rPr>
        <w:t>BUDŻET PLANU KOMUNIKACJI</w:t>
      </w:r>
    </w:p>
    <w:p w14:paraId="0923FBBF" w14:textId="77777777" w:rsidR="003E19F0" w:rsidRPr="00B1640C" w:rsidRDefault="00D62937" w:rsidP="00D62937">
      <w:pPr>
        <w:spacing w:after="0" w:line="360" w:lineRule="auto"/>
        <w:jc w:val="both"/>
        <w:rPr>
          <w:rFonts w:ascii="Times New Roman" w:hAnsi="Times New Roman" w:cs="Times New Roman"/>
          <w:position w:val="6"/>
        </w:rPr>
      </w:pPr>
      <w:r w:rsidRPr="00B1640C">
        <w:rPr>
          <w:rFonts w:ascii="Times New Roman" w:hAnsi="Times New Roman" w:cs="Times New Roman"/>
          <w:position w:val="6"/>
        </w:rPr>
        <w:t>Całkowity budżet przewidziany na działania komunikacyjne z lokalną społecznością w okresie realizacji LSR</w:t>
      </w:r>
      <w:r w:rsidR="00E71F04" w:rsidRPr="00B1640C">
        <w:rPr>
          <w:rFonts w:ascii="Times New Roman" w:hAnsi="Times New Roman" w:cs="Times New Roman"/>
          <w:position w:val="6"/>
        </w:rPr>
        <w:t xml:space="preserve"> </w:t>
      </w:r>
    </w:p>
    <w:tbl>
      <w:tblPr>
        <w:tblStyle w:val="Tabela-Siatka"/>
        <w:tblW w:w="0" w:type="auto"/>
        <w:tblLook w:val="00A0" w:firstRow="1" w:lastRow="0" w:firstColumn="1" w:lastColumn="0" w:noHBand="0" w:noVBand="0"/>
      </w:tblPr>
      <w:tblGrid>
        <w:gridCol w:w="1487"/>
        <w:gridCol w:w="651"/>
        <w:gridCol w:w="4432"/>
        <w:gridCol w:w="2490"/>
      </w:tblGrid>
      <w:tr w:rsidR="00D62937" w:rsidRPr="00B1640C" w14:paraId="23FF9FDA" w14:textId="77777777" w:rsidTr="00D62937">
        <w:tc>
          <w:tcPr>
            <w:tcW w:w="1487" w:type="dxa"/>
            <w:vAlign w:val="center"/>
          </w:tcPr>
          <w:p w14:paraId="447D7294"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b/>
                <w:bCs/>
                <w:position w:val="6"/>
                <w:sz w:val="22"/>
                <w:szCs w:val="22"/>
              </w:rPr>
              <w:t>Nazwa kampanii</w:t>
            </w:r>
          </w:p>
        </w:tc>
        <w:tc>
          <w:tcPr>
            <w:tcW w:w="651" w:type="dxa"/>
            <w:vAlign w:val="center"/>
          </w:tcPr>
          <w:p w14:paraId="1BA16758"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b/>
                <w:bCs/>
                <w:position w:val="6"/>
                <w:sz w:val="22"/>
                <w:szCs w:val="22"/>
              </w:rPr>
              <w:t>l.p.</w:t>
            </w:r>
          </w:p>
        </w:tc>
        <w:tc>
          <w:tcPr>
            <w:tcW w:w="4432" w:type="dxa"/>
            <w:vAlign w:val="center"/>
          </w:tcPr>
          <w:p w14:paraId="1A064AB3"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b/>
                <w:bCs/>
                <w:position w:val="6"/>
                <w:sz w:val="22"/>
                <w:szCs w:val="22"/>
              </w:rPr>
              <w:t>Środki przekazu</w:t>
            </w:r>
          </w:p>
        </w:tc>
        <w:tc>
          <w:tcPr>
            <w:tcW w:w="2490" w:type="dxa"/>
            <w:vAlign w:val="center"/>
          </w:tcPr>
          <w:p w14:paraId="7E6C838C"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b/>
                <w:bCs/>
                <w:position w:val="6"/>
                <w:sz w:val="22"/>
                <w:szCs w:val="22"/>
              </w:rPr>
              <w:t>Planowany budżet [EUR]</w:t>
            </w:r>
          </w:p>
        </w:tc>
      </w:tr>
      <w:tr w:rsidR="00D62937" w:rsidRPr="00B1640C" w14:paraId="07B4EB0D" w14:textId="77777777" w:rsidTr="00D62937">
        <w:tc>
          <w:tcPr>
            <w:tcW w:w="1487" w:type="dxa"/>
            <w:vMerge w:val="restart"/>
          </w:tcPr>
          <w:p w14:paraId="325322BA" w14:textId="77777777" w:rsidR="00D62937" w:rsidRPr="00B1640C" w:rsidRDefault="00D62937" w:rsidP="00D62937">
            <w:pPr>
              <w:spacing w:line="360" w:lineRule="auto"/>
              <w:jc w:val="center"/>
              <w:rPr>
                <w:rFonts w:ascii="Times New Roman" w:hAnsi="Times New Roman" w:cs="Times New Roman"/>
                <w:b/>
                <w:bCs/>
                <w:position w:val="6"/>
                <w:sz w:val="22"/>
                <w:szCs w:val="22"/>
              </w:rPr>
            </w:pPr>
          </w:p>
        </w:tc>
        <w:tc>
          <w:tcPr>
            <w:tcW w:w="651" w:type="dxa"/>
          </w:tcPr>
          <w:p w14:paraId="3A67F836" w14:textId="2FC17497" w:rsidR="00D62937" w:rsidRPr="00B1640C" w:rsidRDefault="0096689B" w:rsidP="00D62937">
            <w:pPr>
              <w:spacing w:line="360" w:lineRule="auto"/>
              <w:jc w:val="center"/>
              <w:rPr>
                <w:rFonts w:ascii="Times New Roman" w:hAnsi="Times New Roman" w:cs="Times New Roman"/>
                <w:position w:val="6"/>
                <w:sz w:val="22"/>
                <w:szCs w:val="22"/>
              </w:rPr>
            </w:pPr>
            <w:r>
              <w:rPr>
                <w:rFonts w:ascii="Times New Roman" w:hAnsi="Times New Roman" w:cs="Times New Roman"/>
                <w:position w:val="6"/>
                <w:sz w:val="22"/>
                <w:szCs w:val="22"/>
              </w:rPr>
              <w:t>1</w:t>
            </w:r>
          </w:p>
        </w:tc>
        <w:tc>
          <w:tcPr>
            <w:tcW w:w="4432" w:type="dxa"/>
          </w:tcPr>
          <w:p w14:paraId="41AA03C3"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position w:val="6"/>
                <w:sz w:val="22"/>
                <w:szCs w:val="22"/>
              </w:rPr>
              <w:t>działania w mediach społecznościowych</w:t>
            </w:r>
          </w:p>
        </w:tc>
        <w:tc>
          <w:tcPr>
            <w:tcW w:w="2490" w:type="dxa"/>
            <w:vAlign w:val="center"/>
          </w:tcPr>
          <w:p w14:paraId="325F2901"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0,00*</w:t>
            </w:r>
          </w:p>
        </w:tc>
      </w:tr>
      <w:tr w:rsidR="00D62937" w:rsidRPr="00B1640C" w14:paraId="64A6B8D9" w14:textId="77777777" w:rsidTr="00D62937">
        <w:tc>
          <w:tcPr>
            <w:tcW w:w="1487" w:type="dxa"/>
            <w:vMerge/>
          </w:tcPr>
          <w:p w14:paraId="42AA037A" w14:textId="77777777" w:rsidR="00D62937" w:rsidRPr="00B1640C" w:rsidRDefault="00D62937" w:rsidP="00D62937">
            <w:pPr>
              <w:spacing w:line="360" w:lineRule="auto"/>
              <w:jc w:val="center"/>
              <w:rPr>
                <w:rFonts w:ascii="Times New Roman" w:hAnsi="Times New Roman" w:cs="Times New Roman"/>
                <w:b/>
                <w:bCs/>
                <w:position w:val="6"/>
                <w:sz w:val="22"/>
                <w:szCs w:val="22"/>
              </w:rPr>
            </w:pPr>
          </w:p>
        </w:tc>
        <w:tc>
          <w:tcPr>
            <w:tcW w:w="651" w:type="dxa"/>
          </w:tcPr>
          <w:p w14:paraId="0F542A2D" w14:textId="27958FFC" w:rsidR="00D62937" w:rsidRPr="00B1640C" w:rsidRDefault="0096689B" w:rsidP="00D62937">
            <w:pPr>
              <w:spacing w:line="360" w:lineRule="auto"/>
              <w:jc w:val="center"/>
              <w:rPr>
                <w:rFonts w:ascii="Times New Roman" w:hAnsi="Times New Roman" w:cs="Times New Roman"/>
                <w:position w:val="6"/>
                <w:sz w:val="22"/>
                <w:szCs w:val="22"/>
              </w:rPr>
            </w:pPr>
            <w:r>
              <w:rPr>
                <w:rFonts w:ascii="Times New Roman" w:hAnsi="Times New Roman" w:cs="Times New Roman"/>
                <w:position w:val="6"/>
                <w:sz w:val="22"/>
                <w:szCs w:val="22"/>
              </w:rPr>
              <w:t>2</w:t>
            </w:r>
          </w:p>
        </w:tc>
        <w:tc>
          <w:tcPr>
            <w:tcW w:w="4432" w:type="dxa"/>
          </w:tcPr>
          <w:p w14:paraId="2AE2C56F"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position w:val="6"/>
                <w:sz w:val="22"/>
                <w:szCs w:val="22"/>
              </w:rPr>
              <w:t>funkcjonowanie strony internetowej</w:t>
            </w:r>
          </w:p>
        </w:tc>
        <w:tc>
          <w:tcPr>
            <w:tcW w:w="2490" w:type="dxa"/>
            <w:vAlign w:val="center"/>
          </w:tcPr>
          <w:p w14:paraId="58BCF8EE"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3 000,00</w:t>
            </w:r>
          </w:p>
        </w:tc>
      </w:tr>
      <w:tr w:rsidR="00D62937" w:rsidRPr="00B1640C" w14:paraId="11994E9C" w14:textId="77777777" w:rsidTr="00D62937">
        <w:tc>
          <w:tcPr>
            <w:tcW w:w="1487" w:type="dxa"/>
            <w:vMerge/>
          </w:tcPr>
          <w:p w14:paraId="23927705" w14:textId="77777777" w:rsidR="00D62937" w:rsidRPr="00B1640C" w:rsidRDefault="00D62937" w:rsidP="00D62937">
            <w:pPr>
              <w:spacing w:line="360" w:lineRule="auto"/>
              <w:jc w:val="center"/>
              <w:rPr>
                <w:rFonts w:ascii="Times New Roman" w:hAnsi="Times New Roman" w:cs="Times New Roman"/>
                <w:b/>
                <w:bCs/>
                <w:position w:val="6"/>
                <w:sz w:val="22"/>
                <w:szCs w:val="22"/>
              </w:rPr>
            </w:pPr>
          </w:p>
        </w:tc>
        <w:tc>
          <w:tcPr>
            <w:tcW w:w="651" w:type="dxa"/>
          </w:tcPr>
          <w:p w14:paraId="44ECCD2A" w14:textId="1CACADD5" w:rsidR="00D62937" w:rsidRPr="00B1640C" w:rsidRDefault="0096689B" w:rsidP="00D62937">
            <w:pPr>
              <w:spacing w:line="360" w:lineRule="auto"/>
              <w:jc w:val="center"/>
              <w:rPr>
                <w:rFonts w:ascii="Times New Roman" w:hAnsi="Times New Roman" w:cs="Times New Roman"/>
                <w:position w:val="6"/>
                <w:sz w:val="22"/>
                <w:szCs w:val="22"/>
              </w:rPr>
            </w:pPr>
            <w:r>
              <w:rPr>
                <w:rFonts w:ascii="Times New Roman" w:hAnsi="Times New Roman" w:cs="Times New Roman"/>
                <w:position w:val="6"/>
                <w:sz w:val="22"/>
                <w:szCs w:val="22"/>
              </w:rPr>
              <w:t>3</w:t>
            </w:r>
          </w:p>
        </w:tc>
        <w:tc>
          <w:tcPr>
            <w:tcW w:w="4432" w:type="dxa"/>
          </w:tcPr>
          <w:p w14:paraId="4B878FA3"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position w:val="6"/>
                <w:sz w:val="22"/>
                <w:szCs w:val="22"/>
              </w:rPr>
              <w:t>otwarte wydarzenie</w:t>
            </w:r>
          </w:p>
        </w:tc>
        <w:tc>
          <w:tcPr>
            <w:tcW w:w="2490" w:type="dxa"/>
            <w:vAlign w:val="center"/>
          </w:tcPr>
          <w:p w14:paraId="2A9E2FB7" w14:textId="77777777" w:rsidR="00D62937" w:rsidRPr="00B1640C" w:rsidRDefault="00987D81"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10</w:t>
            </w:r>
            <w:r w:rsidR="00D62937" w:rsidRPr="00B1640C">
              <w:rPr>
                <w:rFonts w:ascii="Times New Roman" w:hAnsi="Times New Roman" w:cs="Times New Roman"/>
                <w:position w:val="6"/>
                <w:sz w:val="22"/>
                <w:szCs w:val="22"/>
              </w:rPr>
              <w:t> 000,00</w:t>
            </w:r>
          </w:p>
        </w:tc>
      </w:tr>
      <w:tr w:rsidR="00D62937" w:rsidRPr="00B1640C" w14:paraId="7ED48376" w14:textId="77777777" w:rsidTr="00D62937">
        <w:tc>
          <w:tcPr>
            <w:tcW w:w="1487" w:type="dxa"/>
            <w:vMerge w:val="restart"/>
            <w:vAlign w:val="center"/>
          </w:tcPr>
          <w:p w14:paraId="416962F4"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b/>
                <w:bCs/>
                <w:position w:val="6"/>
                <w:sz w:val="22"/>
                <w:szCs w:val="22"/>
              </w:rPr>
              <w:t>Kampania informacyjna</w:t>
            </w:r>
          </w:p>
          <w:p w14:paraId="030611E5" w14:textId="77777777" w:rsidR="00D62937" w:rsidRPr="00B1640C" w:rsidRDefault="00D62937" w:rsidP="00D62937">
            <w:pPr>
              <w:spacing w:line="360" w:lineRule="auto"/>
              <w:jc w:val="center"/>
              <w:rPr>
                <w:rFonts w:ascii="Times New Roman" w:hAnsi="Times New Roman" w:cs="Times New Roman"/>
                <w:b/>
                <w:bCs/>
                <w:position w:val="6"/>
                <w:sz w:val="22"/>
                <w:szCs w:val="22"/>
              </w:rPr>
            </w:pPr>
          </w:p>
        </w:tc>
        <w:tc>
          <w:tcPr>
            <w:tcW w:w="651" w:type="dxa"/>
          </w:tcPr>
          <w:p w14:paraId="1AE93D35" w14:textId="13F0EC7A"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1</w:t>
            </w:r>
          </w:p>
        </w:tc>
        <w:tc>
          <w:tcPr>
            <w:tcW w:w="4432" w:type="dxa"/>
          </w:tcPr>
          <w:p w14:paraId="00DDEAE2"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position w:val="6"/>
                <w:sz w:val="22"/>
                <w:szCs w:val="22"/>
              </w:rPr>
              <w:t>funkcjonowanie strony internetowej</w:t>
            </w:r>
          </w:p>
        </w:tc>
        <w:tc>
          <w:tcPr>
            <w:tcW w:w="2490" w:type="dxa"/>
            <w:vAlign w:val="center"/>
          </w:tcPr>
          <w:p w14:paraId="5C88954D"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0,00</w:t>
            </w:r>
          </w:p>
        </w:tc>
      </w:tr>
      <w:tr w:rsidR="00D62937" w:rsidRPr="00B1640C" w14:paraId="513FFCE9" w14:textId="77777777" w:rsidTr="00D62937">
        <w:tc>
          <w:tcPr>
            <w:tcW w:w="1487" w:type="dxa"/>
            <w:vMerge/>
          </w:tcPr>
          <w:p w14:paraId="39C43F07" w14:textId="77777777" w:rsidR="00D62937" w:rsidRPr="00B1640C" w:rsidRDefault="00D62937" w:rsidP="00D62937">
            <w:pPr>
              <w:spacing w:line="360" w:lineRule="auto"/>
              <w:jc w:val="center"/>
              <w:rPr>
                <w:rFonts w:ascii="Times New Roman" w:hAnsi="Times New Roman" w:cs="Times New Roman"/>
                <w:b/>
                <w:bCs/>
                <w:position w:val="6"/>
                <w:sz w:val="22"/>
                <w:szCs w:val="22"/>
              </w:rPr>
            </w:pPr>
          </w:p>
        </w:tc>
        <w:tc>
          <w:tcPr>
            <w:tcW w:w="651" w:type="dxa"/>
          </w:tcPr>
          <w:p w14:paraId="38B2BE71"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2</w:t>
            </w:r>
          </w:p>
        </w:tc>
        <w:tc>
          <w:tcPr>
            <w:tcW w:w="4432" w:type="dxa"/>
          </w:tcPr>
          <w:p w14:paraId="3C40D928"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position w:val="6"/>
                <w:sz w:val="22"/>
                <w:szCs w:val="22"/>
              </w:rPr>
              <w:t>baza e-mail lokalnych liderów</w:t>
            </w:r>
          </w:p>
        </w:tc>
        <w:tc>
          <w:tcPr>
            <w:tcW w:w="2490" w:type="dxa"/>
            <w:vAlign w:val="center"/>
          </w:tcPr>
          <w:p w14:paraId="1ED7A0C9"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0,00*</w:t>
            </w:r>
          </w:p>
        </w:tc>
      </w:tr>
      <w:tr w:rsidR="00D62937" w:rsidRPr="00B1640C" w14:paraId="6C7D0CB9" w14:textId="77777777" w:rsidTr="00D62937">
        <w:tc>
          <w:tcPr>
            <w:tcW w:w="1487" w:type="dxa"/>
            <w:vMerge/>
          </w:tcPr>
          <w:p w14:paraId="1ED651D6" w14:textId="77777777" w:rsidR="00D62937" w:rsidRPr="00B1640C" w:rsidRDefault="00D62937" w:rsidP="00D62937">
            <w:pPr>
              <w:spacing w:line="360" w:lineRule="auto"/>
              <w:jc w:val="center"/>
              <w:rPr>
                <w:rFonts w:ascii="Times New Roman" w:hAnsi="Times New Roman" w:cs="Times New Roman"/>
                <w:b/>
                <w:bCs/>
                <w:position w:val="6"/>
                <w:sz w:val="22"/>
                <w:szCs w:val="22"/>
              </w:rPr>
            </w:pPr>
          </w:p>
        </w:tc>
        <w:tc>
          <w:tcPr>
            <w:tcW w:w="651" w:type="dxa"/>
          </w:tcPr>
          <w:p w14:paraId="1F0E3465"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3</w:t>
            </w:r>
          </w:p>
        </w:tc>
        <w:tc>
          <w:tcPr>
            <w:tcW w:w="4432" w:type="dxa"/>
          </w:tcPr>
          <w:p w14:paraId="7EFCBC43"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position w:val="6"/>
                <w:sz w:val="22"/>
                <w:szCs w:val="22"/>
              </w:rPr>
              <w:t>newsletter za pośrednictwem strony internetowej LGD</w:t>
            </w:r>
          </w:p>
        </w:tc>
        <w:tc>
          <w:tcPr>
            <w:tcW w:w="2490" w:type="dxa"/>
            <w:vAlign w:val="center"/>
          </w:tcPr>
          <w:p w14:paraId="40CF51AC"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1 500,00</w:t>
            </w:r>
          </w:p>
        </w:tc>
      </w:tr>
      <w:tr w:rsidR="00D62937" w:rsidRPr="00B1640C" w14:paraId="07C087D2" w14:textId="77777777" w:rsidTr="00D62937">
        <w:tc>
          <w:tcPr>
            <w:tcW w:w="1487" w:type="dxa"/>
            <w:vMerge/>
          </w:tcPr>
          <w:p w14:paraId="145DFBDD" w14:textId="77777777" w:rsidR="00D62937" w:rsidRPr="00B1640C" w:rsidRDefault="00D62937" w:rsidP="00D62937">
            <w:pPr>
              <w:spacing w:line="360" w:lineRule="auto"/>
              <w:jc w:val="center"/>
              <w:rPr>
                <w:rFonts w:ascii="Times New Roman" w:hAnsi="Times New Roman" w:cs="Times New Roman"/>
                <w:b/>
                <w:bCs/>
                <w:position w:val="6"/>
                <w:sz w:val="22"/>
                <w:szCs w:val="22"/>
              </w:rPr>
            </w:pPr>
          </w:p>
        </w:tc>
        <w:tc>
          <w:tcPr>
            <w:tcW w:w="651" w:type="dxa"/>
          </w:tcPr>
          <w:p w14:paraId="7493FB10"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4</w:t>
            </w:r>
          </w:p>
        </w:tc>
        <w:tc>
          <w:tcPr>
            <w:tcW w:w="4432" w:type="dxa"/>
          </w:tcPr>
          <w:p w14:paraId="6C139457" w14:textId="170B5F9D"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position w:val="6"/>
                <w:sz w:val="22"/>
                <w:szCs w:val="22"/>
              </w:rPr>
              <w:t>spotkania informacyjno-konsultacyjne</w:t>
            </w:r>
          </w:p>
        </w:tc>
        <w:tc>
          <w:tcPr>
            <w:tcW w:w="2490" w:type="dxa"/>
            <w:vAlign w:val="center"/>
          </w:tcPr>
          <w:p w14:paraId="462EAD70" w14:textId="77777777" w:rsidR="00D62937" w:rsidRPr="00B1640C" w:rsidRDefault="00987D81"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10 0</w:t>
            </w:r>
            <w:r w:rsidR="00D62937" w:rsidRPr="00B1640C">
              <w:rPr>
                <w:rFonts w:ascii="Times New Roman" w:hAnsi="Times New Roman" w:cs="Times New Roman"/>
                <w:position w:val="6"/>
                <w:sz w:val="22"/>
                <w:szCs w:val="22"/>
              </w:rPr>
              <w:t>00,00</w:t>
            </w:r>
          </w:p>
        </w:tc>
      </w:tr>
      <w:tr w:rsidR="00D62937" w:rsidRPr="00B1640C" w14:paraId="05B238D1" w14:textId="77777777" w:rsidTr="00D62937">
        <w:tc>
          <w:tcPr>
            <w:tcW w:w="1487" w:type="dxa"/>
            <w:vMerge/>
          </w:tcPr>
          <w:p w14:paraId="00272682" w14:textId="77777777" w:rsidR="00D62937" w:rsidRPr="00B1640C" w:rsidRDefault="00D62937" w:rsidP="00D62937">
            <w:pPr>
              <w:spacing w:line="360" w:lineRule="auto"/>
              <w:jc w:val="center"/>
              <w:rPr>
                <w:rFonts w:ascii="Times New Roman" w:hAnsi="Times New Roman" w:cs="Times New Roman"/>
                <w:b/>
                <w:bCs/>
                <w:position w:val="6"/>
                <w:sz w:val="22"/>
                <w:szCs w:val="22"/>
              </w:rPr>
            </w:pPr>
          </w:p>
        </w:tc>
        <w:tc>
          <w:tcPr>
            <w:tcW w:w="651" w:type="dxa"/>
          </w:tcPr>
          <w:p w14:paraId="78FD0AEF"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5</w:t>
            </w:r>
          </w:p>
        </w:tc>
        <w:tc>
          <w:tcPr>
            <w:tcW w:w="4432" w:type="dxa"/>
          </w:tcPr>
          <w:p w14:paraId="1E997E7F" w14:textId="6579F41D" w:rsidR="00D62937" w:rsidRPr="00B1640C" w:rsidRDefault="00F1000E" w:rsidP="00D62937">
            <w:pPr>
              <w:spacing w:line="360" w:lineRule="auto"/>
              <w:jc w:val="center"/>
              <w:rPr>
                <w:rFonts w:ascii="Times New Roman" w:hAnsi="Times New Roman" w:cs="Times New Roman"/>
                <w:b/>
                <w:bCs/>
                <w:position w:val="6"/>
                <w:sz w:val="22"/>
                <w:szCs w:val="22"/>
              </w:rPr>
            </w:pPr>
            <w:r>
              <w:rPr>
                <w:rFonts w:ascii="Times New Roman" w:hAnsi="Times New Roman" w:cs="Times New Roman"/>
                <w:position w:val="6"/>
                <w:sz w:val="22"/>
                <w:szCs w:val="22"/>
              </w:rPr>
              <w:t>Forum generalne LGD</w:t>
            </w:r>
          </w:p>
        </w:tc>
        <w:tc>
          <w:tcPr>
            <w:tcW w:w="2490" w:type="dxa"/>
            <w:vAlign w:val="center"/>
          </w:tcPr>
          <w:p w14:paraId="01967FD1"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2 000,00</w:t>
            </w:r>
          </w:p>
        </w:tc>
      </w:tr>
      <w:tr w:rsidR="00D62937" w:rsidRPr="00B1640C" w14:paraId="42D5CB10" w14:textId="77777777" w:rsidTr="00D62937">
        <w:tc>
          <w:tcPr>
            <w:tcW w:w="1487" w:type="dxa"/>
            <w:vMerge/>
          </w:tcPr>
          <w:p w14:paraId="213A4CC5" w14:textId="77777777" w:rsidR="00D62937" w:rsidRPr="00B1640C" w:rsidRDefault="00D62937" w:rsidP="00D62937">
            <w:pPr>
              <w:spacing w:line="360" w:lineRule="auto"/>
              <w:jc w:val="center"/>
              <w:rPr>
                <w:rFonts w:ascii="Times New Roman" w:hAnsi="Times New Roman" w:cs="Times New Roman"/>
                <w:b/>
                <w:bCs/>
                <w:position w:val="6"/>
                <w:sz w:val="22"/>
                <w:szCs w:val="22"/>
              </w:rPr>
            </w:pPr>
          </w:p>
        </w:tc>
        <w:tc>
          <w:tcPr>
            <w:tcW w:w="651" w:type="dxa"/>
          </w:tcPr>
          <w:p w14:paraId="549FF24C"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6</w:t>
            </w:r>
          </w:p>
        </w:tc>
        <w:tc>
          <w:tcPr>
            <w:tcW w:w="4432" w:type="dxa"/>
          </w:tcPr>
          <w:p w14:paraId="171F282A"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position w:val="6"/>
                <w:sz w:val="22"/>
                <w:szCs w:val="22"/>
              </w:rPr>
              <w:t>bezpłatne szkolenia</w:t>
            </w:r>
          </w:p>
        </w:tc>
        <w:tc>
          <w:tcPr>
            <w:tcW w:w="2490" w:type="dxa"/>
            <w:vAlign w:val="center"/>
          </w:tcPr>
          <w:p w14:paraId="21548743" w14:textId="77777777" w:rsidR="00D62937" w:rsidRPr="00B1640C" w:rsidRDefault="000D3D65"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1</w:t>
            </w:r>
            <w:r w:rsidR="00D62937" w:rsidRPr="00B1640C">
              <w:rPr>
                <w:rFonts w:ascii="Times New Roman" w:hAnsi="Times New Roman" w:cs="Times New Roman"/>
                <w:position w:val="6"/>
                <w:sz w:val="22"/>
                <w:szCs w:val="22"/>
              </w:rPr>
              <w:t>00,00</w:t>
            </w:r>
          </w:p>
        </w:tc>
      </w:tr>
      <w:tr w:rsidR="00D62937" w:rsidRPr="00B1640C" w14:paraId="47CFF16D" w14:textId="77777777" w:rsidTr="00D62937">
        <w:tc>
          <w:tcPr>
            <w:tcW w:w="1487" w:type="dxa"/>
            <w:vMerge/>
          </w:tcPr>
          <w:p w14:paraId="1EDC07B8" w14:textId="77777777" w:rsidR="00D62937" w:rsidRPr="00B1640C" w:rsidRDefault="00D62937" w:rsidP="00D62937">
            <w:pPr>
              <w:spacing w:line="360" w:lineRule="auto"/>
              <w:jc w:val="center"/>
              <w:rPr>
                <w:rFonts w:ascii="Times New Roman" w:hAnsi="Times New Roman" w:cs="Times New Roman"/>
                <w:b/>
                <w:bCs/>
                <w:position w:val="6"/>
                <w:sz w:val="22"/>
                <w:szCs w:val="22"/>
              </w:rPr>
            </w:pPr>
          </w:p>
        </w:tc>
        <w:tc>
          <w:tcPr>
            <w:tcW w:w="651" w:type="dxa"/>
          </w:tcPr>
          <w:p w14:paraId="7A20EEB0"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7</w:t>
            </w:r>
          </w:p>
        </w:tc>
        <w:tc>
          <w:tcPr>
            <w:tcW w:w="4432" w:type="dxa"/>
          </w:tcPr>
          <w:p w14:paraId="5C71D5C4"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position w:val="6"/>
                <w:sz w:val="22"/>
                <w:szCs w:val="22"/>
              </w:rPr>
              <w:t>działania w mediach społecznościowych</w:t>
            </w:r>
          </w:p>
        </w:tc>
        <w:tc>
          <w:tcPr>
            <w:tcW w:w="2490" w:type="dxa"/>
            <w:vAlign w:val="center"/>
          </w:tcPr>
          <w:p w14:paraId="1622958D"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0,00*</w:t>
            </w:r>
          </w:p>
        </w:tc>
      </w:tr>
      <w:tr w:rsidR="00D62937" w:rsidRPr="00B1640C" w14:paraId="6537110E" w14:textId="77777777" w:rsidTr="00D62937">
        <w:tc>
          <w:tcPr>
            <w:tcW w:w="1487" w:type="dxa"/>
            <w:vMerge/>
          </w:tcPr>
          <w:p w14:paraId="0F6DCD13" w14:textId="77777777" w:rsidR="00D62937" w:rsidRPr="00B1640C" w:rsidRDefault="00D62937" w:rsidP="00D62937">
            <w:pPr>
              <w:spacing w:line="360" w:lineRule="auto"/>
              <w:jc w:val="center"/>
              <w:rPr>
                <w:rFonts w:ascii="Times New Roman" w:hAnsi="Times New Roman" w:cs="Times New Roman"/>
                <w:b/>
                <w:bCs/>
                <w:position w:val="6"/>
                <w:sz w:val="22"/>
                <w:szCs w:val="22"/>
              </w:rPr>
            </w:pPr>
          </w:p>
        </w:tc>
        <w:tc>
          <w:tcPr>
            <w:tcW w:w="651" w:type="dxa"/>
          </w:tcPr>
          <w:p w14:paraId="026109A7"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8</w:t>
            </w:r>
          </w:p>
        </w:tc>
        <w:tc>
          <w:tcPr>
            <w:tcW w:w="4432" w:type="dxa"/>
          </w:tcPr>
          <w:p w14:paraId="5FBC0489"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position w:val="6"/>
                <w:sz w:val="22"/>
                <w:szCs w:val="22"/>
              </w:rPr>
              <w:t>komunikacja z Zarządem Województwa/ wskazaną organizacją lub instytucją</w:t>
            </w:r>
          </w:p>
        </w:tc>
        <w:tc>
          <w:tcPr>
            <w:tcW w:w="2490" w:type="dxa"/>
            <w:vAlign w:val="center"/>
          </w:tcPr>
          <w:p w14:paraId="4B06F6CE" w14:textId="77777777" w:rsidR="00D62937" w:rsidRPr="00B1640C" w:rsidRDefault="00D62937" w:rsidP="00D62937">
            <w:pPr>
              <w:spacing w:line="360" w:lineRule="auto"/>
              <w:jc w:val="center"/>
              <w:rPr>
                <w:rFonts w:ascii="Times New Roman" w:hAnsi="Times New Roman" w:cs="Times New Roman"/>
                <w:position w:val="6"/>
                <w:sz w:val="22"/>
                <w:szCs w:val="22"/>
              </w:rPr>
            </w:pPr>
            <w:r w:rsidRPr="00B1640C">
              <w:rPr>
                <w:rFonts w:ascii="Times New Roman" w:hAnsi="Times New Roman" w:cs="Times New Roman"/>
                <w:position w:val="6"/>
                <w:sz w:val="22"/>
                <w:szCs w:val="22"/>
              </w:rPr>
              <w:t>0,00*</w:t>
            </w:r>
          </w:p>
        </w:tc>
      </w:tr>
      <w:tr w:rsidR="00AE3D60" w:rsidRPr="00B1640C" w14:paraId="7F5D2862" w14:textId="77777777" w:rsidTr="00D62937">
        <w:tc>
          <w:tcPr>
            <w:tcW w:w="1487" w:type="dxa"/>
          </w:tcPr>
          <w:p w14:paraId="5DFE888C" w14:textId="77777777" w:rsidR="00AE3D60" w:rsidRPr="00B1640C" w:rsidRDefault="00AE3D60" w:rsidP="00D62937">
            <w:pPr>
              <w:spacing w:line="360" w:lineRule="auto"/>
              <w:jc w:val="center"/>
              <w:rPr>
                <w:rFonts w:ascii="Times New Roman" w:hAnsi="Times New Roman" w:cs="Times New Roman"/>
                <w:b/>
                <w:bCs/>
                <w:position w:val="6"/>
              </w:rPr>
            </w:pPr>
          </w:p>
        </w:tc>
        <w:tc>
          <w:tcPr>
            <w:tcW w:w="651" w:type="dxa"/>
          </w:tcPr>
          <w:p w14:paraId="08C94492" w14:textId="64F8F401" w:rsidR="00AE3D60" w:rsidRPr="00B1640C" w:rsidRDefault="00F31328" w:rsidP="00D62937">
            <w:pPr>
              <w:spacing w:line="360" w:lineRule="auto"/>
              <w:jc w:val="center"/>
              <w:rPr>
                <w:rFonts w:ascii="Times New Roman" w:hAnsi="Times New Roman" w:cs="Times New Roman"/>
                <w:position w:val="6"/>
              </w:rPr>
            </w:pPr>
            <w:r>
              <w:rPr>
                <w:rFonts w:ascii="Times New Roman" w:hAnsi="Times New Roman" w:cs="Times New Roman"/>
                <w:position w:val="6"/>
              </w:rPr>
              <w:t>9</w:t>
            </w:r>
          </w:p>
        </w:tc>
        <w:tc>
          <w:tcPr>
            <w:tcW w:w="4432" w:type="dxa"/>
          </w:tcPr>
          <w:p w14:paraId="2C58431F" w14:textId="6F4E47D0" w:rsidR="00AE3D60" w:rsidRPr="00AE3D60" w:rsidRDefault="00AE3D60" w:rsidP="00D62937">
            <w:pPr>
              <w:spacing w:line="360" w:lineRule="auto"/>
              <w:jc w:val="center"/>
              <w:rPr>
                <w:rFonts w:ascii="Times New Roman" w:hAnsi="Times New Roman" w:cs="Times New Roman"/>
                <w:position w:val="6"/>
                <w:sz w:val="22"/>
                <w:szCs w:val="22"/>
              </w:rPr>
            </w:pPr>
            <w:r>
              <w:rPr>
                <w:rFonts w:ascii="Times New Roman" w:hAnsi="Times New Roman" w:cs="Times New Roman"/>
                <w:position w:val="6"/>
                <w:sz w:val="22"/>
                <w:szCs w:val="22"/>
              </w:rPr>
              <w:t>b</w:t>
            </w:r>
            <w:r w:rsidRPr="00AE3D60">
              <w:rPr>
                <w:rFonts w:ascii="Times New Roman" w:hAnsi="Times New Roman" w:cs="Times New Roman"/>
                <w:position w:val="6"/>
                <w:sz w:val="22"/>
                <w:szCs w:val="22"/>
              </w:rPr>
              <w:t>ezpłatne doradztwo</w:t>
            </w:r>
          </w:p>
        </w:tc>
        <w:tc>
          <w:tcPr>
            <w:tcW w:w="2490" w:type="dxa"/>
            <w:vAlign w:val="center"/>
          </w:tcPr>
          <w:p w14:paraId="5113CAF0" w14:textId="1B493819" w:rsidR="00AE3D60" w:rsidRPr="00AE3D60" w:rsidRDefault="00AE3D60" w:rsidP="00D62937">
            <w:pPr>
              <w:spacing w:line="360" w:lineRule="auto"/>
              <w:jc w:val="center"/>
              <w:rPr>
                <w:rFonts w:ascii="Times New Roman" w:hAnsi="Times New Roman" w:cs="Times New Roman"/>
                <w:position w:val="6"/>
                <w:sz w:val="22"/>
                <w:szCs w:val="22"/>
              </w:rPr>
            </w:pPr>
            <w:r w:rsidRPr="00AE3D60">
              <w:rPr>
                <w:rFonts w:ascii="Times New Roman" w:hAnsi="Times New Roman" w:cs="Times New Roman"/>
                <w:position w:val="6"/>
                <w:sz w:val="22"/>
                <w:szCs w:val="22"/>
              </w:rPr>
              <w:t>0,00*</w:t>
            </w:r>
          </w:p>
        </w:tc>
      </w:tr>
      <w:tr w:rsidR="00D62937" w:rsidRPr="00B1640C" w14:paraId="3A0BFDEB" w14:textId="77777777" w:rsidTr="00D62937">
        <w:tc>
          <w:tcPr>
            <w:tcW w:w="6570" w:type="dxa"/>
            <w:gridSpan w:val="3"/>
          </w:tcPr>
          <w:p w14:paraId="0E253B7C" w14:textId="77777777" w:rsidR="00D62937" w:rsidRPr="00B1640C" w:rsidRDefault="00D62937" w:rsidP="00D62937">
            <w:pPr>
              <w:spacing w:line="360" w:lineRule="auto"/>
              <w:jc w:val="center"/>
              <w:rPr>
                <w:rFonts w:ascii="Times New Roman" w:hAnsi="Times New Roman" w:cs="Times New Roman"/>
                <w:b/>
                <w:bCs/>
                <w:position w:val="6"/>
                <w:sz w:val="22"/>
                <w:szCs w:val="22"/>
              </w:rPr>
            </w:pPr>
            <w:r w:rsidRPr="00B1640C">
              <w:rPr>
                <w:rFonts w:ascii="Times New Roman" w:hAnsi="Times New Roman" w:cs="Times New Roman"/>
                <w:b/>
                <w:bCs/>
                <w:position w:val="6"/>
                <w:sz w:val="22"/>
                <w:szCs w:val="22"/>
              </w:rPr>
              <w:t>Razem</w:t>
            </w:r>
          </w:p>
        </w:tc>
        <w:tc>
          <w:tcPr>
            <w:tcW w:w="2490" w:type="dxa"/>
            <w:vAlign w:val="center"/>
          </w:tcPr>
          <w:p w14:paraId="4567CC0E" w14:textId="15398C2C" w:rsidR="00D62937" w:rsidRPr="00B1640C" w:rsidRDefault="001327B4" w:rsidP="00D62937">
            <w:pPr>
              <w:spacing w:line="360" w:lineRule="auto"/>
              <w:jc w:val="center"/>
              <w:rPr>
                <w:rFonts w:ascii="Times New Roman" w:hAnsi="Times New Roman" w:cs="Times New Roman"/>
                <w:b/>
                <w:bCs/>
                <w:position w:val="6"/>
                <w:sz w:val="22"/>
                <w:szCs w:val="22"/>
              </w:rPr>
            </w:pPr>
            <w:r>
              <w:rPr>
                <w:rFonts w:ascii="Times New Roman" w:hAnsi="Times New Roman" w:cs="Times New Roman"/>
                <w:b/>
                <w:bCs/>
                <w:position w:val="6"/>
                <w:sz w:val="22"/>
                <w:szCs w:val="22"/>
              </w:rPr>
              <w:t>2</w:t>
            </w:r>
            <w:r w:rsidR="0096689B">
              <w:rPr>
                <w:rFonts w:ascii="Times New Roman" w:hAnsi="Times New Roman" w:cs="Times New Roman"/>
                <w:b/>
                <w:bCs/>
                <w:position w:val="6"/>
                <w:sz w:val="22"/>
                <w:szCs w:val="22"/>
              </w:rPr>
              <w:t>6</w:t>
            </w:r>
            <w:r w:rsidR="00D62937" w:rsidRPr="00B1640C">
              <w:rPr>
                <w:rFonts w:ascii="Times New Roman" w:hAnsi="Times New Roman" w:cs="Times New Roman"/>
                <w:b/>
                <w:bCs/>
                <w:position w:val="6"/>
                <w:sz w:val="22"/>
                <w:szCs w:val="22"/>
              </w:rPr>
              <w:t> </w:t>
            </w:r>
            <w:r w:rsidR="009A6C29" w:rsidRPr="00B1640C">
              <w:rPr>
                <w:rFonts w:ascii="Times New Roman" w:hAnsi="Times New Roman" w:cs="Times New Roman"/>
                <w:b/>
                <w:bCs/>
                <w:position w:val="6"/>
                <w:sz w:val="22"/>
                <w:szCs w:val="22"/>
              </w:rPr>
              <w:t>6</w:t>
            </w:r>
            <w:r w:rsidR="00D62937" w:rsidRPr="00B1640C">
              <w:rPr>
                <w:rFonts w:ascii="Times New Roman" w:hAnsi="Times New Roman" w:cs="Times New Roman"/>
                <w:b/>
                <w:bCs/>
                <w:position w:val="6"/>
                <w:sz w:val="22"/>
                <w:szCs w:val="22"/>
              </w:rPr>
              <w:t>00,00</w:t>
            </w:r>
          </w:p>
        </w:tc>
      </w:tr>
    </w:tbl>
    <w:p w14:paraId="7918E920" w14:textId="77777777" w:rsidR="00D62937" w:rsidRPr="00807492" w:rsidRDefault="00D62937" w:rsidP="00D62937">
      <w:pPr>
        <w:spacing w:after="0" w:line="240" w:lineRule="auto"/>
        <w:rPr>
          <w:rFonts w:ascii="Times New Roman" w:hAnsi="Times New Roman" w:cs="Times New Roman"/>
          <w:i/>
          <w:iCs/>
          <w:position w:val="6"/>
          <w:sz w:val="16"/>
          <w:szCs w:val="16"/>
        </w:rPr>
      </w:pPr>
      <w:r w:rsidRPr="00B1640C">
        <w:rPr>
          <w:rFonts w:ascii="Times New Roman" w:hAnsi="Times New Roman" w:cs="Times New Roman"/>
          <w:i/>
          <w:iCs/>
          <w:position w:val="6"/>
        </w:rPr>
        <w:t>*Środki przekazu nie  generują  wydatków  -  poszczególne działania  wymagają zaangażowania czasu pracy przez pracowników Biura LGD, w zakresie przypisanych  zakresów obowiązków,  w oparciu o bezpłatne   kanały  typu Facebook</w:t>
      </w:r>
      <w:r w:rsidRPr="00807492">
        <w:rPr>
          <w:rFonts w:ascii="Times New Roman" w:hAnsi="Times New Roman" w:cs="Times New Roman"/>
          <w:i/>
          <w:iCs/>
          <w:position w:val="6"/>
          <w:sz w:val="16"/>
          <w:szCs w:val="16"/>
        </w:rPr>
        <w:t xml:space="preserve"> </w:t>
      </w:r>
      <w:r w:rsidRPr="00B1640C">
        <w:rPr>
          <w:rFonts w:ascii="Times New Roman" w:hAnsi="Times New Roman" w:cs="Times New Roman"/>
          <w:i/>
          <w:iCs/>
          <w:position w:val="6"/>
        </w:rPr>
        <w:t>i poczta elektroniczna</w:t>
      </w:r>
    </w:p>
    <w:sectPr w:rsidR="00D62937" w:rsidRPr="00807492" w:rsidSect="002E2D2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076FC" w14:textId="77777777" w:rsidR="001F449D" w:rsidRDefault="001F449D" w:rsidP="003321EF">
      <w:pPr>
        <w:spacing w:after="0" w:line="240" w:lineRule="auto"/>
      </w:pPr>
      <w:r>
        <w:separator/>
      </w:r>
    </w:p>
  </w:endnote>
  <w:endnote w:type="continuationSeparator" w:id="0">
    <w:p w14:paraId="2DEB2B04" w14:textId="77777777" w:rsidR="001F449D" w:rsidRDefault="001F449D" w:rsidP="0033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493710"/>
      <w:docPartObj>
        <w:docPartGallery w:val="Page Numbers (Bottom of Page)"/>
        <w:docPartUnique/>
      </w:docPartObj>
    </w:sdtPr>
    <w:sdtContent>
      <w:p w14:paraId="0A0F87E5" w14:textId="77777777" w:rsidR="00F70E7A" w:rsidRDefault="00F70E7A">
        <w:pPr>
          <w:pStyle w:val="Stopka"/>
          <w:jc w:val="right"/>
        </w:pPr>
        <w:r>
          <w:fldChar w:fldCharType="begin"/>
        </w:r>
        <w:r>
          <w:instrText>PAGE   \* MERGEFORMAT</w:instrText>
        </w:r>
        <w:r>
          <w:fldChar w:fldCharType="separate"/>
        </w:r>
        <w:r>
          <w:t>2</w:t>
        </w:r>
        <w:r>
          <w:fldChar w:fldCharType="end"/>
        </w:r>
      </w:p>
    </w:sdtContent>
  </w:sdt>
  <w:p w14:paraId="10DD1870" w14:textId="77777777" w:rsidR="00F70E7A" w:rsidRDefault="00F70E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E6217" w14:textId="77777777" w:rsidR="001F449D" w:rsidRDefault="001F449D" w:rsidP="003321EF">
      <w:pPr>
        <w:spacing w:after="0" w:line="240" w:lineRule="auto"/>
      </w:pPr>
      <w:r>
        <w:separator/>
      </w:r>
    </w:p>
  </w:footnote>
  <w:footnote w:type="continuationSeparator" w:id="0">
    <w:p w14:paraId="5E6351C4" w14:textId="77777777" w:rsidR="001F449D" w:rsidRDefault="001F449D" w:rsidP="00332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B194" w14:textId="77777777" w:rsidR="003321EF" w:rsidRDefault="003321EF">
    <w:pPr>
      <w:pStyle w:val="Nagwek"/>
    </w:pPr>
    <w:r>
      <w:rPr>
        <w:noProof/>
      </w:rPr>
      <w:drawing>
        <wp:anchor distT="0" distB="0" distL="114300" distR="114300" simplePos="0" relativeHeight="251658240" behindDoc="1" locked="0" layoutInCell="1" allowOverlap="1" wp14:anchorId="4E8DC9AA" wp14:editId="307E547A">
          <wp:simplePos x="0" y="0"/>
          <wp:positionH relativeFrom="column">
            <wp:posOffset>4841625</wp:posOffset>
          </wp:positionH>
          <wp:positionV relativeFrom="paragraph">
            <wp:posOffset>-268612</wp:posOffset>
          </wp:positionV>
          <wp:extent cx="789073" cy="529119"/>
          <wp:effectExtent l="0" t="0" r="0" b="4445"/>
          <wp:wrapNone/>
          <wp:docPr id="1012470384" name="Obraz 101247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62631" name="Obraz 1516462631"/>
                  <pic:cNvPicPr/>
                </pic:nvPicPr>
                <pic:blipFill>
                  <a:blip r:embed="rId1">
                    <a:extLst>
                      <a:ext uri="{28A0092B-C50C-407E-A947-70E740481C1C}">
                        <a14:useLocalDpi xmlns:a14="http://schemas.microsoft.com/office/drawing/2010/main" val="0"/>
                      </a:ext>
                    </a:extLst>
                  </a:blip>
                  <a:stretch>
                    <a:fillRect/>
                  </a:stretch>
                </pic:blipFill>
                <pic:spPr>
                  <a:xfrm>
                    <a:off x="0" y="0"/>
                    <a:ext cx="789073" cy="5291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2DD"/>
    <w:multiLevelType w:val="hybridMultilevel"/>
    <w:tmpl w:val="ADF410FE"/>
    <w:lvl w:ilvl="0" w:tplc="95B859B8">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C3842"/>
    <w:multiLevelType w:val="hybridMultilevel"/>
    <w:tmpl w:val="97E6C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F6407"/>
    <w:multiLevelType w:val="hybridMultilevel"/>
    <w:tmpl w:val="AFCCA2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9040D8"/>
    <w:multiLevelType w:val="hybridMultilevel"/>
    <w:tmpl w:val="619287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356C6"/>
    <w:multiLevelType w:val="hybridMultilevel"/>
    <w:tmpl w:val="10BC7538"/>
    <w:lvl w:ilvl="0" w:tplc="DAB4ABC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485BEE"/>
    <w:multiLevelType w:val="hybridMultilevel"/>
    <w:tmpl w:val="03E83B20"/>
    <w:lvl w:ilvl="0" w:tplc="B684630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A7007"/>
    <w:multiLevelType w:val="hybridMultilevel"/>
    <w:tmpl w:val="E7C04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3B7364"/>
    <w:multiLevelType w:val="hybridMultilevel"/>
    <w:tmpl w:val="C50022B8"/>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C92818"/>
    <w:multiLevelType w:val="hybridMultilevel"/>
    <w:tmpl w:val="E79E1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4C360B"/>
    <w:multiLevelType w:val="hybridMultilevel"/>
    <w:tmpl w:val="A56CB87E"/>
    <w:lvl w:ilvl="0" w:tplc="BEB23B96">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3F9352B"/>
    <w:multiLevelType w:val="hybridMultilevel"/>
    <w:tmpl w:val="F2EE5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6A0771"/>
    <w:multiLevelType w:val="hybridMultilevel"/>
    <w:tmpl w:val="7090D2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09993">
    <w:abstractNumId w:val="8"/>
  </w:num>
  <w:num w:numId="2" w16cid:durableId="338655349">
    <w:abstractNumId w:val="0"/>
  </w:num>
  <w:num w:numId="3" w16cid:durableId="1059552784">
    <w:abstractNumId w:val="6"/>
  </w:num>
  <w:num w:numId="4" w16cid:durableId="218904060">
    <w:abstractNumId w:val="3"/>
  </w:num>
  <w:num w:numId="5" w16cid:durableId="301546373">
    <w:abstractNumId w:val="5"/>
  </w:num>
  <w:num w:numId="6" w16cid:durableId="1015692484">
    <w:abstractNumId w:val="4"/>
  </w:num>
  <w:num w:numId="7" w16cid:durableId="758873499">
    <w:abstractNumId w:val="11"/>
  </w:num>
  <w:num w:numId="8" w16cid:durableId="289677131">
    <w:abstractNumId w:val="9"/>
  </w:num>
  <w:num w:numId="9" w16cid:durableId="503663163">
    <w:abstractNumId w:val="2"/>
  </w:num>
  <w:num w:numId="10" w16cid:durableId="2077706834">
    <w:abstractNumId w:val="10"/>
  </w:num>
  <w:num w:numId="11" w16cid:durableId="1727947937">
    <w:abstractNumId w:val="7"/>
  </w:num>
  <w:num w:numId="12" w16cid:durableId="55085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71"/>
    <w:rsid w:val="00010063"/>
    <w:rsid w:val="0006684C"/>
    <w:rsid w:val="000864E7"/>
    <w:rsid w:val="000B3647"/>
    <w:rsid w:val="000D3D65"/>
    <w:rsid w:val="000E676B"/>
    <w:rsid w:val="00127019"/>
    <w:rsid w:val="001327B4"/>
    <w:rsid w:val="00181692"/>
    <w:rsid w:val="001F449D"/>
    <w:rsid w:val="00206983"/>
    <w:rsid w:val="0020786B"/>
    <w:rsid w:val="00272A0E"/>
    <w:rsid w:val="00273E1E"/>
    <w:rsid w:val="002814F0"/>
    <w:rsid w:val="002838F9"/>
    <w:rsid w:val="002869BD"/>
    <w:rsid w:val="002C524C"/>
    <w:rsid w:val="002E2D2E"/>
    <w:rsid w:val="00314A4B"/>
    <w:rsid w:val="003271EC"/>
    <w:rsid w:val="003321EF"/>
    <w:rsid w:val="0036558F"/>
    <w:rsid w:val="003837F9"/>
    <w:rsid w:val="00395771"/>
    <w:rsid w:val="003E19F0"/>
    <w:rsid w:val="003E50B5"/>
    <w:rsid w:val="004263EC"/>
    <w:rsid w:val="00443745"/>
    <w:rsid w:val="00472472"/>
    <w:rsid w:val="00472604"/>
    <w:rsid w:val="00473BDA"/>
    <w:rsid w:val="004829C1"/>
    <w:rsid w:val="004C328D"/>
    <w:rsid w:val="004E35AB"/>
    <w:rsid w:val="004E41DC"/>
    <w:rsid w:val="005526C2"/>
    <w:rsid w:val="00565E89"/>
    <w:rsid w:val="005A0934"/>
    <w:rsid w:val="005B63B9"/>
    <w:rsid w:val="005B7AC1"/>
    <w:rsid w:val="005D224A"/>
    <w:rsid w:val="006274FB"/>
    <w:rsid w:val="00650722"/>
    <w:rsid w:val="0065793D"/>
    <w:rsid w:val="00666508"/>
    <w:rsid w:val="0067103F"/>
    <w:rsid w:val="006B6AA1"/>
    <w:rsid w:val="006F68B8"/>
    <w:rsid w:val="00784F8A"/>
    <w:rsid w:val="0078691C"/>
    <w:rsid w:val="007C5C1A"/>
    <w:rsid w:val="00807492"/>
    <w:rsid w:val="008404D6"/>
    <w:rsid w:val="00873130"/>
    <w:rsid w:val="008A219E"/>
    <w:rsid w:val="0090476E"/>
    <w:rsid w:val="0096689B"/>
    <w:rsid w:val="00987D81"/>
    <w:rsid w:val="009A6C29"/>
    <w:rsid w:val="009E16DD"/>
    <w:rsid w:val="009E56F1"/>
    <w:rsid w:val="00A35F69"/>
    <w:rsid w:val="00A534C8"/>
    <w:rsid w:val="00AA1F79"/>
    <w:rsid w:val="00AB1CA7"/>
    <w:rsid w:val="00AD0171"/>
    <w:rsid w:val="00AD6F87"/>
    <w:rsid w:val="00AE3D60"/>
    <w:rsid w:val="00B1640C"/>
    <w:rsid w:val="00B62439"/>
    <w:rsid w:val="00BC3A2A"/>
    <w:rsid w:val="00C150A8"/>
    <w:rsid w:val="00C70B07"/>
    <w:rsid w:val="00C81936"/>
    <w:rsid w:val="00C94B3C"/>
    <w:rsid w:val="00CA1209"/>
    <w:rsid w:val="00CC026A"/>
    <w:rsid w:val="00CC25E5"/>
    <w:rsid w:val="00CE3B04"/>
    <w:rsid w:val="00D62937"/>
    <w:rsid w:val="00DC3BBF"/>
    <w:rsid w:val="00DF10BD"/>
    <w:rsid w:val="00E06727"/>
    <w:rsid w:val="00E30B0D"/>
    <w:rsid w:val="00E47455"/>
    <w:rsid w:val="00E600DA"/>
    <w:rsid w:val="00E71F04"/>
    <w:rsid w:val="00E76100"/>
    <w:rsid w:val="00EA041E"/>
    <w:rsid w:val="00EA2234"/>
    <w:rsid w:val="00EE5B2D"/>
    <w:rsid w:val="00F1000E"/>
    <w:rsid w:val="00F17F79"/>
    <w:rsid w:val="00F31328"/>
    <w:rsid w:val="00F54854"/>
    <w:rsid w:val="00F60C2A"/>
    <w:rsid w:val="00F70E7A"/>
    <w:rsid w:val="00F95DA1"/>
    <w:rsid w:val="00FA5406"/>
    <w:rsid w:val="00FC6E38"/>
    <w:rsid w:val="00FF49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A566"/>
  <w15:chartTrackingRefBased/>
  <w15:docId w15:val="{A946854A-1594-4883-9DDB-4EBA6815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2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21EF"/>
  </w:style>
  <w:style w:type="paragraph" w:styleId="Stopka">
    <w:name w:val="footer"/>
    <w:basedOn w:val="Normalny"/>
    <w:link w:val="StopkaZnak"/>
    <w:uiPriority w:val="99"/>
    <w:unhideWhenUsed/>
    <w:rsid w:val="00332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21EF"/>
  </w:style>
  <w:style w:type="paragraph" w:styleId="Akapitzlist">
    <w:name w:val="List Paragraph"/>
    <w:basedOn w:val="Normalny"/>
    <w:uiPriority w:val="34"/>
    <w:qFormat/>
    <w:rsid w:val="00EA041E"/>
    <w:pPr>
      <w:ind w:left="720"/>
      <w:contextualSpacing/>
    </w:pPr>
  </w:style>
  <w:style w:type="table" w:styleId="Tabela-Siatka">
    <w:name w:val="Table Grid"/>
    <w:basedOn w:val="Standardowy"/>
    <w:uiPriority w:val="59"/>
    <w:rsid w:val="008404D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E5B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5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jarek\Documents\Moja%20firma\SW\LGD%20Dobrzyn\Ewaluacja%202022\Raport\Zeszyt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arek\Documents\Moja%20firma\SW\LGD%20Dobrzyn\Ewaluacja%202022\Raport\Zeszyt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jarek\Documents\Moja%20firma\SW\LGD%20Dobrzyn\Ewaluacja%202022\Raport\Zeszyt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jarek\Documents\Moja%20firma\SW\LGD%20Dobrzyn\Ewaluacja%202022\Raport\Zeszyt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jarek\Documents\Moja%20firma\SW\LGD%20Dobrzyn\Ewaluacja%202022\Raport\Zeszyt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jarek\Documents\Moja%20firma\SW\LGD%20Dobrzyn\Ewaluacja%202022\Raport\Zeszyt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jarek\Documents\Moja%20firma\SW\LGD%20Dobrzyn\Ewaluacja%202022\Raport\Zeszyt3.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Arkusz12!$E$13:$E$18</c:f>
              <c:strCache>
                <c:ptCount val="6"/>
                <c:pt idx="0">
                  <c:v>Ze strony internetowej LGD</c:v>
                </c:pt>
                <c:pt idx="1">
                  <c:v>Z maila wysłanego przez LGD</c:v>
                </c:pt>
                <c:pt idx="2">
                  <c:v>Z bezpośrednich kontaktów z członkami LGD</c:v>
                </c:pt>
                <c:pt idx="3">
                  <c:v>Od innych osób</c:v>
                </c:pt>
                <c:pt idx="4">
                  <c:v>Z materiałów drukowanych (ulotki, broszury, ogłoszenia)</c:v>
                </c:pt>
                <c:pt idx="5">
                  <c:v>Z mediów tradycyjnych (prasa, radio, telewizja)</c:v>
                </c:pt>
              </c:strCache>
            </c:strRef>
          </c:cat>
          <c:val>
            <c:numRef>
              <c:f>Arkusz12!$F$13:$F$18</c:f>
              <c:numCache>
                <c:formatCode>_(* #,##0.00_);_(* \(#,##0.00\);_(* "-"??_);_(@_)</c:formatCode>
                <c:ptCount val="6"/>
                <c:pt idx="0">
                  <c:v>33.333333333333329</c:v>
                </c:pt>
                <c:pt idx="1">
                  <c:v>10.256410256410255</c:v>
                </c:pt>
                <c:pt idx="2">
                  <c:v>35.897435897435898</c:v>
                </c:pt>
                <c:pt idx="3">
                  <c:v>17.948717948717949</c:v>
                </c:pt>
                <c:pt idx="4">
                  <c:v>2.5641025641025639</c:v>
                </c:pt>
                <c:pt idx="5">
                  <c:v>0</c:v>
                </c:pt>
              </c:numCache>
            </c:numRef>
          </c:val>
          <c:extLst>
            <c:ext xmlns:c16="http://schemas.microsoft.com/office/drawing/2014/chart" uri="{C3380CC4-5D6E-409C-BE32-E72D297353CC}">
              <c16:uniqueId val="{00000000-8287-47B0-B208-224E7108734F}"/>
            </c:ext>
          </c:extLst>
        </c:ser>
        <c:dLbls>
          <c:dLblPos val="outEnd"/>
          <c:showLegendKey val="0"/>
          <c:showVal val="1"/>
          <c:showCatName val="0"/>
          <c:showSerName val="0"/>
          <c:showPercent val="0"/>
          <c:showBubbleSize val="0"/>
        </c:dLbls>
        <c:gapWidth val="100"/>
        <c:axId val="2071556223"/>
        <c:axId val="2071357887"/>
      </c:barChart>
      <c:catAx>
        <c:axId val="20715562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50000"/>
                    <a:lumOff val="50000"/>
                  </a:schemeClr>
                </a:solidFill>
                <a:latin typeface="+mn-lt"/>
                <a:ea typeface="+mn-ea"/>
                <a:cs typeface="+mn-cs"/>
              </a:defRPr>
            </a:pPr>
            <a:endParaRPr lang="pl-PL"/>
          </a:p>
        </c:txPr>
        <c:crossAx val="2071357887"/>
        <c:crosses val="autoZero"/>
        <c:auto val="1"/>
        <c:lblAlgn val="ctr"/>
        <c:lblOffset val="100"/>
        <c:noMultiLvlLbl val="0"/>
      </c:catAx>
      <c:valAx>
        <c:axId val="2071357887"/>
        <c:scaling>
          <c:orientation val="minMax"/>
        </c:scaling>
        <c:delete val="0"/>
        <c:axPos val="b"/>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50000"/>
                    <a:lumOff val="50000"/>
                  </a:schemeClr>
                </a:solidFill>
                <a:latin typeface="+mn-lt"/>
                <a:ea typeface="+mn-ea"/>
                <a:cs typeface="+mn-cs"/>
              </a:defRPr>
            </a:pPr>
            <a:endParaRPr lang="pl-PL"/>
          </a:p>
        </c:txPr>
        <c:crossAx val="2071556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Arkusz1!$F$6:$F$14</c:f>
              <c:strCache>
                <c:ptCount val="9"/>
                <c:pt idx="0">
                  <c:v>Ogłoszenia w radio</c:v>
                </c:pt>
                <c:pt idx="1">
                  <c:v>Ogłoszenia w prasie</c:v>
                </c:pt>
                <c:pt idx="2">
                  <c:v>Spotkania informacyjne z mieszkańcami</c:v>
                </c:pt>
                <c:pt idx="3">
                  <c:v>Broszura informacyjna</c:v>
                </c:pt>
                <c:pt idx="4">
                  <c:v>Strona internetowa LGD</c:v>
                </c:pt>
                <c:pt idx="5">
                  <c:v>Strona internetowa gminy wchodzącej w skład LGD</c:v>
                </c:pt>
                <c:pt idx="6">
                  <c:v>Portale społecznościowe</c:v>
                </c:pt>
                <c:pt idx="7">
                  <c:v>Mailing wysłany przez LGD</c:v>
                </c:pt>
                <c:pt idx="8">
                  <c:v>Inne</c:v>
                </c:pt>
              </c:strCache>
            </c:strRef>
          </c:cat>
          <c:val>
            <c:numRef>
              <c:f>Arkusz1!$G$6:$G$14</c:f>
              <c:numCache>
                <c:formatCode>General</c:formatCode>
                <c:ptCount val="9"/>
                <c:pt idx="0">
                  <c:v>6.3</c:v>
                </c:pt>
                <c:pt idx="1">
                  <c:v>4.2</c:v>
                </c:pt>
                <c:pt idx="2">
                  <c:v>16.7</c:v>
                </c:pt>
                <c:pt idx="3">
                  <c:v>8.3000000000000007</c:v>
                </c:pt>
                <c:pt idx="4">
                  <c:v>28.1</c:v>
                </c:pt>
                <c:pt idx="5">
                  <c:v>8.3000000000000007</c:v>
                </c:pt>
                <c:pt idx="6">
                  <c:v>20.8</c:v>
                </c:pt>
                <c:pt idx="7">
                  <c:v>6.3</c:v>
                </c:pt>
                <c:pt idx="8">
                  <c:v>33.299999999999997</c:v>
                </c:pt>
              </c:numCache>
            </c:numRef>
          </c:val>
          <c:extLst>
            <c:ext xmlns:c16="http://schemas.microsoft.com/office/drawing/2014/chart" uri="{C3380CC4-5D6E-409C-BE32-E72D297353CC}">
              <c16:uniqueId val="{00000000-B6F5-4CD7-A238-7A52430BF65B}"/>
            </c:ext>
          </c:extLst>
        </c:ser>
        <c:dLbls>
          <c:showLegendKey val="0"/>
          <c:showVal val="1"/>
          <c:showCatName val="0"/>
          <c:showSerName val="0"/>
          <c:showPercent val="0"/>
          <c:showBubbleSize val="0"/>
        </c:dLbls>
        <c:gapWidth val="115"/>
        <c:overlap val="-20"/>
        <c:axId val="1809764336"/>
        <c:axId val="1809779392"/>
      </c:barChart>
      <c:catAx>
        <c:axId val="180976433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1809779392"/>
        <c:crosses val="autoZero"/>
        <c:auto val="1"/>
        <c:lblAlgn val="ctr"/>
        <c:lblOffset val="100"/>
        <c:noMultiLvlLbl val="0"/>
      </c:catAx>
      <c:valAx>
        <c:axId val="1809779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crossAx val="1809764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1-EB85-4CD7-BFD5-E8CE707CE41E}"/>
              </c:ext>
            </c:extLst>
          </c:dPt>
          <c:dPt>
            <c:idx val="1"/>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3-EB85-4CD7-BFD5-E8CE707CE41E}"/>
              </c:ext>
            </c:extLst>
          </c:dPt>
          <c:dLbls>
            <c:dLbl>
              <c:idx val="0"/>
              <c:numFmt formatCode="0.00%" sourceLinked="0"/>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6"/>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1-EB85-4CD7-BFD5-E8CE707CE41E}"/>
                </c:ext>
              </c:extLst>
            </c:dLbl>
            <c:dLbl>
              <c:idx val="1"/>
              <c:numFmt formatCode="0.00%" sourceLinked="0"/>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5"/>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3-EB85-4CD7-BFD5-E8CE707CE41E}"/>
                </c:ext>
              </c:extLst>
            </c:dLbl>
            <c:numFmt formatCode="0.00%" sourceLinked="0"/>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6"/>
                    </a:solidFill>
                    <a:effectLst/>
                    <a:latin typeface="+mn-lt"/>
                    <a:ea typeface="+mn-ea"/>
                    <a:cs typeface="+mn-cs"/>
                  </a:defRPr>
                </a:pPr>
                <a:endParaRPr lang="pl-PL"/>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Arkusz3!$E$6:$E$7</c:f>
              <c:strCache>
                <c:ptCount val="2"/>
                <c:pt idx="0">
                  <c:v>Tak</c:v>
                </c:pt>
                <c:pt idx="1">
                  <c:v>Nie</c:v>
                </c:pt>
              </c:strCache>
            </c:strRef>
          </c:cat>
          <c:val>
            <c:numRef>
              <c:f>Arkusz3!$F$6:$F$7</c:f>
              <c:numCache>
                <c:formatCode>General</c:formatCode>
                <c:ptCount val="2"/>
                <c:pt idx="0">
                  <c:v>25</c:v>
                </c:pt>
                <c:pt idx="1">
                  <c:v>4</c:v>
                </c:pt>
              </c:numCache>
            </c:numRef>
          </c:val>
          <c:extLst>
            <c:ext xmlns:c16="http://schemas.microsoft.com/office/drawing/2014/chart" uri="{C3380CC4-5D6E-409C-BE32-E72D297353CC}">
              <c16:uniqueId val="{00000004-EB85-4CD7-BFD5-E8CE707CE41E}"/>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1-EF92-460D-A2BC-ABB9BE8F342F}"/>
              </c:ext>
            </c:extLst>
          </c:dPt>
          <c:dPt>
            <c:idx val="1"/>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3-EF92-460D-A2BC-ABB9BE8F342F}"/>
              </c:ext>
            </c:extLst>
          </c:dPt>
          <c:dPt>
            <c:idx val="2"/>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5-EF92-460D-A2BC-ABB9BE8F342F}"/>
              </c:ext>
            </c:extLst>
          </c:dPt>
          <c:dPt>
            <c:idx val="3"/>
            <c:bubble3D val="0"/>
            <c:spPr>
              <a:solidFill>
                <a:schemeClr val="accent6">
                  <a:lumMod val="60000"/>
                  <a:alpha val="90000"/>
                </a:schemeClr>
              </a:solidFill>
              <a:ln w="19050">
                <a:solidFill>
                  <a:schemeClr val="accent6">
                    <a:lumMod val="60000"/>
                    <a:lumMod val="75000"/>
                  </a:schemeClr>
                </a:solidFill>
              </a:ln>
              <a:effectLst>
                <a:innerShdw blurRad="114300">
                  <a:schemeClr val="accent6">
                    <a:lumMod val="60000"/>
                    <a:lumMod val="75000"/>
                  </a:schemeClr>
                </a:innerShdw>
              </a:effectLst>
              <a:scene3d>
                <a:camera prst="orthographicFront"/>
                <a:lightRig rig="threePt" dir="t"/>
              </a:scene3d>
              <a:sp3d contourW="19050" prstMaterial="flat">
                <a:contourClr>
                  <a:schemeClr val="accent6">
                    <a:lumMod val="60000"/>
                    <a:lumMod val="75000"/>
                  </a:schemeClr>
                </a:contourClr>
              </a:sp3d>
            </c:spPr>
            <c:extLst>
              <c:ext xmlns:c16="http://schemas.microsoft.com/office/drawing/2014/chart" uri="{C3380CC4-5D6E-409C-BE32-E72D297353CC}">
                <c16:uniqueId val="{00000007-EF92-460D-A2BC-ABB9BE8F342F}"/>
              </c:ext>
            </c:extLst>
          </c:dPt>
          <c:dPt>
            <c:idx val="4"/>
            <c:bubble3D val="0"/>
            <c:spPr>
              <a:solidFill>
                <a:schemeClr val="accent5">
                  <a:lumMod val="60000"/>
                  <a:alpha val="90000"/>
                </a:schemeClr>
              </a:solidFill>
              <a:ln w="19050">
                <a:solidFill>
                  <a:schemeClr val="accent5">
                    <a:lumMod val="60000"/>
                    <a:lumMod val="75000"/>
                  </a:schemeClr>
                </a:solidFill>
              </a:ln>
              <a:effectLst>
                <a:innerShdw blurRad="114300">
                  <a:schemeClr val="accent5">
                    <a:lumMod val="60000"/>
                    <a:lumMod val="75000"/>
                  </a:schemeClr>
                </a:innerShdw>
              </a:effectLst>
              <a:scene3d>
                <a:camera prst="orthographicFront"/>
                <a:lightRig rig="threePt" dir="t"/>
              </a:scene3d>
              <a:sp3d contourW="19050" prstMaterial="flat">
                <a:contourClr>
                  <a:schemeClr val="accent5">
                    <a:lumMod val="60000"/>
                    <a:lumMod val="75000"/>
                  </a:schemeClr>
                </a:contourClr>
              </a:sp3d>
            </c:spPr>
            <c:extLst>
              <c:ext xmlns:c16="http://schemas.microsoft.com/office/drawing/2014/chart" uri="{C3380CC4-5D6E-409C-BE32-E72D297353CC}">
                <c16:uniqueId val="{00000009-EF92-460D-A2BC-ABB9BE8F342F}"/>
              </c:ext>
            </c:extLst>
          </c:dPt>
          <c:dPt>
            <c:idx val="5"/>
            <c:bubble3D val="0"/>
            <c:spPr>
              <a:solidFill>
                <a:schemeClr val="accent4">
                  <a:lumMod val="60000"/>
                  <a:alpha val="90000"/>
                </a:schemeClr>
              </a:solidFill>
              <a:ln w="19050">
                <a:solidFill>
                  <a:schemeClr val="accent4">
                    <a:lumMod val="60000"/>
                    <a:lumMod val="75000"/>
                  </a:schemeClr>
                </a:solidFill>
              </a:ln>
              <a:effectLst>
                <a:innerShdw blurRad="114300">
                  <a:schemeClr val="accent4">
                    <a:lumMod val="60000"/>
                    <a:lumMod val="75000"/>
                  </a:schemeClr>
                </a:innerShdw>
              </a:effectLst>
              <a:scene3d>
                <a:camera prst="orthographicFront"/>
                <a:lightRig rig="threePt" dir="t"/>
              </a:scene3d>
              <a:sp3d contourW="19050" prstMaterial="flat">
                <a:contourClr>
                  <a:schemeClr val="accent4">
                    <a:lumMod val="60000"/>
                    <a:lumMod val="75000"/>
                  </a:schemeClr>
                </a:contourClr>
              </a:sp3d>
            </c:spPr>
            <c:extLst>
              <c:ext xmlns:c16="http://schemas.microsoft.com/office/drawing/2014/chart" uri="{C3380CC4-5D6E-409C-BE32-E72D297353CC}">
                <c16:uniqueId val="{0000000B-EF92-460D-A2BC-ABB9BE8F342F}"/>
              </c:ext>
            </c:extLst>
          </c:dPt>
          <c:dPt>
            <c:idx val="6"/>
            <c:bubble3D val="0"/>
            <c:spPr>
              <a:solidFill>
                <a:schemeClr val="accent6">
                  <a:lumMod val="80000"/>
                  <a:lumOff val="20000"/>
                  <a:alpha val="90000"/>
                </a:schemeClr>
              </a:solidFill>
              <a:ln w="19050">
                <a:solidFill>
                  <a:schemeClr val="accent6">
                    <a:lumMod val="80000"/>
                    <a:lumOff val="20000"/>
                    <a:lumMod val="75000"/>
                  </a:schemeClr>
                </a:solidFill>
              </a:ln>
              <a:effectLst>
                <a:innerShdw blurRad="114300">
                  <a:schemeClr val="accent6">
                    <a:lumMod val="80000"/>
                    <a:lumOff val="20000"/>
                    <a:lumMod val="75000"/>
                  </a:schemeClr>
                </a:innerShdw>
              </a:effectLst>
              <a:scene3d>
                <a:camera prst="orthographicFront"/>
                <a:lightRig rig="threePt" dir="t"/>
              </a:scene3d>
              <a:sp3d contourW="19050" prstMaterial="flat">
                <a:contourClr>
                  <a:schemeClr val="accent6">
                    <a:lumMod val="80000"/>
                    <a:lumOff val="20000"/>
                    <a:lumMod val="75000"/>
                  </a:schemeClr>
                </a:contourClr>
              </a:sp3d>
            </c:spPr>
            <c:extLst>
              <c:ext xmlns:c16="http://schemas.microsoft.com/office/drawing/2014/chart" uri="{C3380CC4-5D6E-409C-BE32-E72D297353CC}">
                <c16:uniqueId val="{0000000D-EF92-460D-A2BC-ABB9BE8F342F}"/>
              </c:ext>
            </c:extLst>
          </c:dPt>
          <c:dLbls>
            <c:dLbl>
              <c:idx val="0"/>
              <c:numFmt formatCode="0.00%" sourceLinked="0"/>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6"/>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1-EF92-460D-A2BC-ABB9BE8F342F}"/>
                </c:ext>
              </c:extLst>
            </c:dLbl>
            <c:dLbl>
              <c:idx val="1"/>
              <c:numFmt formatCode="0.00%" sourceLinked="0"/>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5"/>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3-EF92-460D-A2BC-ABB9BE8F342F}"/>
                </c:ext>
              </c:extLst>
            </c:dLbl>
            <c:dLbl>
              <c:idx val="2"/>
              <c:numFmt formatCode="0.00%" sourceLinked="0"/>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4"/>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5-EF92-460D-A2BC-ABB9BE8F342F}"/>
                </c:ext>
              </c:extLst>
            </c:dLbl>
            <c:dLbl>
              <c:idx val="3"/>
              <c:numFmt formatCode="0.00%" sourceLinked="0"/>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6">
                          <a:lumMod val="60000"/>
                        </a:schemeClr>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7-EF92-460D-A2BC-ABB9BE8F342F}"/>
                </c:ext>
              </c:extLst>
            </c:dLbl>
            <c:dLbl>
              <c:idx val="4"/>
              <c:numFmt formatCode="0.00%" sourceLinked="0"/>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5">
                          <a:lumMod val="60000"/>
                        </a:schemeClr>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9-EF92-460D-A2BC-ABB9BE8F342F}"/>
                </c:ext>
              </c:extLst>
            </c:dLbl>
            <c:dLbl>
              <c:idx val="5"/>
              <c:layout>
                <c:manualLayout>
                  <c:x val="4.1564038232817332E-2"/>
                  <c:y val="5.1700665151506548E-3"/>
                </c:manualLayout>
              </c:layout>
              <c:numFmt formatCode="0.00%" sourceLinked="0"/>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4">
                          <a:lumMod val="60000"/>
                        </a:schemeClr>
                      </a:solidFill>
                      <a:effectLst/>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F92-460D-A2BC-ABB9BE8F342F}"/>
                </c:ext>
              </c:extLst>
            </c:dLbl>
            <c:dLbl>
              <c:idx val="6"/>
              <c:layout>
                <c:manualLayout>
                  <c:x val="0.13398848848414346"/>
                  <c:y val="4.4632388488488996E-3"/>
                </c:manualLayout>
              </c:layout>
              <c:numFmt formatCode="0.00%" sourceLinked="0"/>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6">
                          <a:lumMod val="80000"/>
                          <a:lumOff val="20000"/>
                        </a:schemeClr>
                      </a:solidFill>
                      <a:effectLst/>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F92-460D-A2BC-ABB9BE8F342F}"/>
                </c:ext>
              </c:extLst>
            </c:dLbl>
            <c:numFmt formatCode="0.00%" sourceLinked="0"/>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6"/>
                    </a:solidFill>
                    <a:effectLst/>
                    <a:latin typeface="+mn-lt"/>
                    <a:ea typeface="+mn-ea"/>
                    <a:cs typeface="+mn-cs"/>
                  </a:defRPr>
                </a:pPr>
                <a:endParaRPr lang="pl-PL"/>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Arkusz3!$E$20:$E$26</c:f>
              <c:strCache>
                <c:ptCount val="7"/>
                <c:pt idx="0">
                  <c:v>Zdecydowanie dobrze</c:v>
                </c:pt>
                <c:pt idx="1">
                  <c:v>Dobrze</c:v>
                </c:pt>
                <c:pt idx="2">
                  <c:v>Przeciętnie</c:v>
                </c:pt>
                <c:pt idx="3">
                  <c:v>Źle</c:v>
                </c:pt>
                <c:pt idx="4">
                  <c:v>Bardzo źle</c:v>
                </c:pt>
                <c:pt idx="5">
                  <c:v>Trudno powiedzieć</c:v>
                </c:pt>
                <c:pt idx="6">
                  <c:v>Nie korzystałem ze wsparcia </c:v>
                </c:pt>
              </c:strCache>
            </c:strRef>
          </c:cat>
          <c:val>
            <c:numRef>
              <c:f>Arkusz3!$F$20:$F$26</c:f>
              <c:numCache>
                <c:formatCode>General</c:formatCode>
                <c:ptCount val="7"/>
                <c:pt idx="0">
                  <c:v>22</c:v>
                </c:pt>
                <c:pt idx="1">
                  <c:v>5</c:v>
                </c:pt>
                <c:pt idx="5">
                  <c:v>1</c:v>
                </c:pt>
                <c:pt idx="6">
                  <c:v>1</c:v>
                </c:pt>
              </c:numCache>
            </c:numRef>
          </c:val>
          <c:extLst>
            <c:ext xmlns:c16="http://schemas.microsoft.com/office/drawing/2014/chart" uri="{C3380CC4-5D6E-409C-BE32-E72D297353CC}">
              <c16:uniqueId val="{0000000E-EF92-460D-A2BC-ABB9BE8F342F}"/>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A290-4302-9AF5-884C119AF2BB}"/>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A290-4302-9AF5-884C119AF2B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A290-4302-9AF5-884C119AF2BB}"/>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A290-4302-9AF5-884C119AF2BB}"/>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A290-4302-9AF5-884C119AF2BB}"/>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A290-4302-9AF5-884C119AF2BB}"/>
              </c:ext>
            </c:extLst>
          </c:dPt>
          <c:dLbls>
            <c:dLbl>
              <c:idx val="0"/>
              <c:numFmt formatCode="0.00%" sourceLinked="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1"/>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1-A290-4302-9AF5-884C119AF2BB}"/>
                </c:ext>
              </c:extLst>
            </c:dLbl>
            <c:dLbl>
              <c:idx val="1"/>
              <c:numFmt formatCode="0.00%" sourceLinked="0"/>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2"/>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3-A290-4302-9AF5-884C119AF2BB}"/>
                </c:ext>
              </c:extLst>
            </c:dLbl>
            <c:dLbl>
              <c:idx val="2"/>
              <c:layout>
                <c:manualLayout>
                  <c:x val="4.5138888888888888E-2"/>
                  <c:y val="3.5545318655916064E-2"/>
                </c:manualLayout>
              </c:layout>
              <c:numFmt formatCode="0.00%" sourceLinked="0"/>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3"/>
                      </a:solidFill>
                      <a:effectLst/>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290-4302-9AF5-884C119AF2BB}"/>
                </c:ext>
              </c:extLst>
            </c:dLbl>
            <c:dLbl>
              <c:idx val="3"/>
              <c:numFmt formatCode="0.00%" sourceLinked="0"/>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4"/>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7-A290-4302-9AF5-884C119AF2BB}"/>
                </c:ext>
              </c:extLst>
            </c:dLbl>
            <c:dLbl>
              <c:idx val="4"/>
              <c:numFmt formatCode="0.00%" sourceLinked="0"/>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5"/>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9-A290-4302-9AF5-884C119AF2BB}"/>
                </c:ext>
              </c:extLst>
            </c:dLbl>
            <c:dLbl>
              <c:idx val="5"/>
              <c:numFmt formatCode="0.00%" sourceLinked="0"/>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6"/>
                      </a:solidFill>
                      <a:effectLst/>
                      <a:latin typeface="+mn-lt"/>
                      <a:ea typeface="+mn-ea"/>
                      <a:cs typeface="+mn-cs"/>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B-A290-4302-9AF5-884C119AF2BB}"/>
                </c:ext>
              </c:extLst>
            </c:dLbl>
            <c:numFmt formatCode="0.00%" sourceLinked="0"/>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1"/>
                    </a:solidFill>
                    <a:effectLst/>
                    <a:latin typeface="+mn-lt"/>
                    <a:ea typeface="+mn-ea"/>
                    <a:cs typeface="+mn-cs"/>
                  </a:defRPr>
                </a:pPr>
                <a:endParaRPr lang="pl-PL"/>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Arkusz4!$F$3:$F$8</c:f>
              <c:strCache>
                <c:ptCount val="3"/>
                <c:pt idx="0">
                  <c:v>Zdecydowanie tak</c:v>
                </c:pt>
                <c:pt idx="1">
                  <c:v>Raczej tak</c:v>
                </c:pt>
                <c:pt idx="2">
                  <c:v>Raczej nie</c:v>
                </c:pt>
              </c:strCache>
            </c:strRef>
          </c:cat>
          <c:val>
            <c:numRef>
              <c:f>Arkusz4!$G$3:$G$8</c:f>
              <c:numCache>
                <c:formatCode>General</c:formatCode>
                <c:ptCount val="6"/>
                <c:pt idx="0">
                  <c:v>19</c:v>
                </c:pt>
                <c:pt idx="1">
                  <c:v>2</c:v>
                </c:pt>
                <c:pt idx="2">
                  <c:v>1</c:v>
                </c:pt>
              </c:numCache>
            </c:numRef>
          </c:val>
          <c:extLst>
            <c:ext xmlns:c16="http://schemas.microsoft.com/office/drawing/2014/chart" uri="{C3380CC4-5D6E-409C-BE32-E72D297353CC}">
              <c16:uniqueId val="{0000000C-A290-4302-9AF5-884C119AF2B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B7C2-4B32-9B81-437ACA0B0085}"/>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B7C2-4B32-9B81-437ACA0B0085}"/>
              </c:ext>
            </c:extLst>
          </c:dPt>
          <c:dLbls>
            <c:dLbl>
              <c:idx val="0"/>
              <c:numFmt formatCode="0.00%" sourceLinked="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1"/>
                      </a:solidFill>
                      <a:effectLst/>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1-B7C2-4B32-9B81-437ACA0B0085}"/>
                </c:ext>
              </c:extLst>
            </c:dLbl>
            <c:dLbl>
              <c:idx val="1"/>
              <c:numFmt formatCode="0.00%" sourceLinked="0"/>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2"/>
                      </a:solidFill>
                      <a:effectLst/>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3-B7C2-4B32-9B81-437ACA0B0085}"/>
                </c:ext>
              </c:extLst>
            </c:dLbl>
            <c:numFmt formatCode="0.00%" sourceLinked="0"/>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1"/>
                    </a:solidFill>
                    <a:effectLst/>
                    <a:latin typeface="+mn-lt"/>
                    <a:ea typeface="+mn-ea"/>
                    <a:cs typeface="+mn-cs"/>
                  </a:defRPr>
                </a:pPr>
                <a:endParaRPr lang="pl-PL"/>
              </a:p>
            </c:tx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Arkusz14!$E$5:$E$6</c:f>
              <c:strCache>
                <c:ptCount val="2"/>
                <c:pt idx="0">
                  <c:v>Tak</c:v>
                </c:pt>
                <c:pt idx="1">
                  <c:v>Nie</c:v>
                </c:pt>
              </c:strCache>
            </c:strRef>
          </c:cat>
          <c:val>
            <c:numRef>
              <c:f>Arkusz14!$F$5:$F$6</c:f>
              <c:numCache>
                <c:formatCode>General</c:formatCode>
                <c:ptCount val="2"/>
                <c:pt idx="0">
                  <c:v>22</c:v>
                </c:pt>
                <c:pt idx="1">
                  <c:v>0</c:v>
                </c:pt>
              </c:numCache>
            </c:numRef>
          </c:val>
          <c:extLst>
            <c:ext xmlns:c16="http://schemas.microsoft.com/office/drawing/2014/chart" uri="{C3380CC4-5D6E-409C-BE32-E72D297353CC}">
              <c16:uniqueId val="{00000004-B7C2-4B32-9B81-437ACA0B008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03B-437C-B450-1FB189CFC39A}"/>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03B-437C-B450-1FB189CFC39A}"/>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03B-437C-B450-1FB189CFC39A}"/>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603B-437C-B450-1FB189CFC39A}"/>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603B-437C-B450-1FB189CFC39A}"/>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603B-437C-B450-1FB189CFC39A}"/>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603B-437C-B450-1FB189CFC39A}"/>
              </c:ext>
            </c:extLst>
          </c:dPt>
          <c:dLbls>
            <c:dLbl>
              <c:idx val="0"/>
              <c:layout>
                <c:manualLayout>
                  <c:x val="-3.5281146637265795E-2"/>
                  <c:y val="-8.4685956245589403E-2"/>
                </c:manualLayout>
              </c:layout>
              <c:numFmt formatCode="0.00%" sourceLinked="0"/>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1"/>
                      </a:solidFill>
                      <a:effectLst/>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03B-437C-B450-1FB189CFC39A}"/>
                </c:ext>
              </c:extLst>
            </c:dLbl>
            <c:dLbl>
              <c:idx val="1"/>
              <c:numFmt formatCode="0.00%" sourceLinked="0"/>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2"/>
                      </a:solidFill>
                      <a:effectLst/>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3-603B-437C-B450-1FB189CFC39A}"/>
                </c:ext>
              </c:extLst>
            </c:dLbl>
            <c:dLbl>
              <c:idx val="2"/>
              <c:delete val="1"/>
              <c:extLst>
                <c:ext xmlns:c15="http://schemas.microsoft.com/office/drawing/2012/chart" uri="{CE6537A1-D6FC-4f65-9D91-7224C49458BB}"/>
                <c:ext xmlns:c16="http://schemas.microsoft.com/office/drawing/2014/chart" uri="{C3380CC4-5D6E-409C-BE32-E72D297353CC}">
                  <c16:uniqueId val="{00000005-603B-437C-B450-1FB189CFC39A}"/>
                </c:ext>
              </c:extLst>
            </c:dLbl>
            <c:dLbl>
              <c:idx val="3"/>
              <c:delete val="1"/>
              <c:extLst>
                <c:ext xmlns:c15="http://schemas.microsoft.com/office/drawing/2012/chart" uri="{CE6537A1-D6FC-4f65-9D91-7224C49458BB}"/>
                <c:ext xmlns:c16="http://schemas.microsoft.com/office/drawing/2014/chart" uri="{C3380CC4-5D6E-409C-BE32-E72D297353CC}">
                  <c16:uniqueId val="{00000007-603B-437C-B450-1FB189CFC39A}"/>
                </c:ext>
              </c:extLst>
            </c:dLbl>
            <c:dLbl>
              <c:idx val="4"/>
              <c:delete val="1"/>
              <c:extLst>
                <c:ext xmlns:c15="http://schemas.microsoft.com/office/drawing/2012/chart" uri="{CE6537A1-D6FC-4f65-9D91-7224C49458BB}"/>
                <c:ext xmlns:c16="http://schemas.microsoft.com/office/drawing/2014/chart" uri="{C3380CC4-5D6E-409C-BE32-E72D297353CC}">
                  <c16:uniqueId val="{00000009-603B-437C-B450-1FB189CFC39A}"/>
                </c:ext>
              </c:extLst>
            </c:dLbl>
            <c:dLbl>
              <c:idx val="5"/>
              <c:layout>
                <c:manualLayout>
                  <c:x val="4.4439166564425966E-2"/>
                  <c:y val="-1.388888382586621E-2"/>
                </c:manualLayout>
              </c:layout>
              <c:numFmt formatCode="0.00%" sourceLinked="0"/>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6"/>
                      </a:solidFill>
                      <a:effectLst/>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03B-437C-B450-1FB189CFC39A}"/>
                </c:ext>
              </c:extLst>
            </c:dLbl>
            <c:dLbl>
              <c:idx val="6"/>
              <c:layout>
                <c:manualLayout>
                  <c:x val="0.17074175136242561"/>
                  <c:y val="0"/>
                </c:manualLayout>
              </c:layout>
              <c:numFmt formatCode="0.00%" sourceLinked="0"/>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1">
                          <a:lumMod val="60000"/>
                        </a:schemeClr>
                      </a:solidFill>
                      <a:effectLst/>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03B-437C-B450-1FB189CFC39A}"/>
                </c:ext>
              </c:extLst>
            </c:dLbl>
            <c:numFmt formatCode="0.00%" sourceLinked="0"/>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1"/>
                    </a:solidFill>
                    <a:effectLst/>
                    <a:latin typeface="+mn-lt"/>
                    <a:ea typeface="+mn-ea"/>
                    <a:cs typeface="+mn-cs"/>
                  </a:defRPr>
                </a:pPr>
                <a:endParaRPr lang="pl-PL"/>
              </a:p>
            </c:tx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Arkusz14!$L$11:$L$17</c:f>
              <c:strCache>
                <c:ptCount val="2"/>
                <c:pt idx="0">
                  <c:v>Zdecydowanie dobrze</c:v>
                </c:pt>
                <c:pt idx="1">
                  <c:v>Dobrze</c:v>
                </c:pt>
              </c:strCache>
            </c:strRef>
          </c:cat>
          <c:val>
            <c:numRef>
              <c:f>Arkusz14!$M$11:$M$17</c:f>
              <c:numCache>
                <c:formatCode>_(* #,##0.00_);_(* \(#,##0.00\);_(* "-"??_);_(@_)</c:formatCode>
                <c:ptCount val="7"/>
                <c:pt idx="0">
                  <c:v>19</c:v>
                </c:pt>
                <c:pt idx="1">
                  <c:v>3</c:v>
                </c:pt>
              </c:numCache>
            </c:numRef>
          </c:val>
          <c:extLst>
            <c:ext xmlns:c16="http://schemas.microsoft.com/office/drawing/2014/chart" uri="{C3380CC4-5D6E-409C-BE32-E72D297353CC}">
              <c16:uniqueId val="{0000000E-603B-437C-B450-1FB189CFC39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Arkusz17!$B$18</c:f>
              <c:strCache>
                <c:ptCount val="1"/>
                <c:pt idx="0">
                  <c:v>Zdecydowanie się zgadzam</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50000"/>
                        <a:lumOff val="50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Arkusz17!$A$19:$A$30</c:f>
              <c:strCache>
                <c:ptCount val="12"/>
                <c:pt idx="0">
                  <c:v>Jestem poinformowany o aktualnych działaniach LGD</c:v>
                </c:pt>
                <c:pt idx="1">
                  <c:v>LGR dostarcza kompletnej i rzetelnej wiedzy potrzebnej do rozwiązania problemu</c:v>
                </c:pt>
                <c:pt idx="2">
                  <c:v>Pracownicy  biura  LGR  w  razie  problemów  szybko reagują i służą wsparciem</c:v>
                </c:pt>
                <c:pt idx="3">
                  <c:v>LGR jest otwarte na współpracę z innymi podmiotami</c:v>
                </c:pt>
                <c:pt idx="4">
                  <c:v>LGR pyta mieszkańców o ich potrzeby i konsultuje kierunki rozwoju obszaru na którym działa</c:v>
                </c:pt>
                <c:pt idx="5">
                  <c:v>Działalność LGR jest potrzebna</c:v>
                </c:pt>
                <c:pt idx="6">
                  <c:v>Bez LGR obszar rozwijałby się gorzej</c:v>
                </c:pt>
                <c:pt idx="7">
                  <c:v>Widzę na obszarze gminy inwestycje i działania finansowane ze środków UE</c:v>
                </c:pt>
                <c:pt idx="8">
                  <c:v>Dzięki LGR mieszkańcy są bardziej skłonni do podejmowania działań przedsiębiorczych</c:v>
                </c:pt>
                <c:pt idx="9">
                  <c:v>Dzięki działalności LGR obszar (gmina) jest bardziej znany w okolicy</c:v>
                </c:pt>
                <c:pt idx="10">
                  <c:v>Poprzez LSR mieszkańcy mogą mieć realny wpływ na to co dzieje się w ich najbliższym otoczeniu</c:v>
                </c:pt>
                <c:pt idx="11">
                  <c:v>Mieszkańcy chcą aby działania zrealizowane w ramach LSR były kontynuowane</c:v>
                </c:pt>
              </c:strCache>
            </c:strRef>
          </c:cat>
          <c:val>
            <c:numRef>
              <c:f>Arkusz17!$B$19:$B$30</c:f>
              <c:numCache>
                <c:formatCode>_(* #,##0.00_);_(* \(#,##0.00\);_(* "-"??_);_(@_)</c:formatCode>
                <c:ptCount val="12"/>
                <c:pt idx="0">
                  <c:v>68.965517241379317</c:v>
                </c:pt>
                <c:pt idx="1">
                  <c:v>79.310344827586206</c:v>
                </c:pt>
                <c:pt idx="2">
                  <c:v>82.758620689655174</c:v>
                </c:pt>
                <c:pt idx="3">
                  <c:v>58.620689655172406</c:v>
                </c:pt>
                <c:pt idx="4">
                  <c:v>44.827586206896555</c:v>
                </c:pt>
                <c:pt idx="5">
                  <c:v>82.758620689655174</c:v>
                </c:pt>
                <c:pt idx="6">
                  <c:v>72.41379310344827</c:v>
                </c:pt>
                <c:pt idx="7">
                  <c:v>72.41379310344827</c:v>
                </c:pt>
                <c:pt idx="8">
                  <c:v>58.620689655172406</c:v>
                </c:pt>
                <c:pt idx="9">
                  <c:v>58.620689655172406</c:v>
                </c:pt>
                <c:pt idx="10">
                  <c:v>51.724137931034484</c:v>
                </c:pt>
                <c:pt idx="11">
                  <c:v>62.068965517241381</c:v>
                </c:pt>
              </c:numCache>
            </c:numRef>
          </c:val>
          <c:extLst>
            <c:ext xmlns:c16="http://schemas.microsoft.com/office/drawing/2014/chart" uri="{C3380CC4-5D6E-409C-BE32-E72D297353CC}">
              <c16:uniqueId val="{00000000-E796-4BD8-AE2F-63213342BA8C}"/>
            </c:ext>
          </c:extLst>
        </c:ser>
        <c:ser>
          <c:idx val="1"/>
          <c:order val="1"/>
          <c:tx>
            <c:strRef>
              <c:f>Arkusz17!$C$18</c:f>
              <c:strCache>
                <c:ptCount val="1"/>
                <c:pt idx="0">
                  <c:v>Raczej się zgadzam</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50000"/>
                        <a:lumOff val="50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Arkusz17!$A$19:$A$30</c:f>
              <c:strCache>
                <c:ptCount val="12"/>
                <c:pt idx="0">
                  <c:v>Jestem poinformowany o aktualnych działaniach LGD</c:v>
                </c:pt>
                <c:pt idx="1">
                  <c:v>LGR dostarcza kompletnej i rzetelnej wiedzy potrzebnej do rozwiązania problemu</c:v>
                </c:pt>
                <c:pt idx="2">
                  <c:v>Pracownicy  biura  LGR  w  razie  problemów  szybko reagują i służą wsparciem</c:v>
                </c:pt>
                <c:pt idx="3">
                  <c:v>LGR jest otwarte na współpracę z innymi podmiotami</c:v>
                </c:pt>
                <c:pt idx="4">
                  <c:v>LGR pyta mieszkańców o ich potrzeby i konsultuje kierunki rozwoju obszaru na którym działa</c:v>
                </c:pt>
                <c:pt idx="5">
                  <c:v>Działalność LGR jest potrzebna</c:v>
                </c:pt>
                <c:pt idx="6">
                  <c:v>Bez LGR obszar rozwijałby się gorzej</c:v>
                </c:pt>
                <c:pt idx="7">
                  <c:v>Widzę na obszarze gminy inwestycje i działania finansowane ze środków UE</c:v>
                </c:pt>
                <c:pt idx="8">
                  <c:v>Dzięki LGR mieszkańcy są bardziej skłonni do podejmowania działań przedsiębiorczych</c:v>
                </c:pt>
                <c:pt idx="9">
                  <c:v>Dzięki działalności LGR obszar (gmina) jest bardziej znany w okolicy</c:v>
                </c:pt>
                <c:pt idx="10">
                  <c:v>Poprzez LSR mieszkańcy mogą mieć realny wpływ na to co dzieje się w ich najbliższym otoczeniu</c:v>
                </c:pt>
                <c:pt idx="11">
                  <c:v>Mieszkańcy chcą aby działania zrealizowane w ramach LSR były kontynuowane</c:v>
                </c:pt>
              </c:strCache>
            </c:strRef>
          </c:cat>
          <c:val>
            <c:numRef>
              <c:f>Arkusz17!$C$19:$C$30</c:f>
              <c:numCache>
                <c:formatCode>_(* #,##0.00_);_(* \(#,##0.00\);_(* "-"??_);_(@_)</c:formatCode>
                <c:ptCount val="12"/>
                <c:pt idx="0">
                  <c:v>13.793103448275861</c:v>
                </c:pt>
                <c:pt idx="1">
                  <c:v>13.793103448275861</c:v>
                </c:pt>
                <c:pt idx="2">
                  <c:v>10.344827586206897</c:v>
                </c:pt>
                <c:pt idx="3">
                  <c:v>27.586206896551722</c:v>
                </c:pt>
                <c:pt idx="4">
                  <c:v>41.379310344827587</c:v>
                </c:pt>
                <c:pt idx="5">
                  <c:v>13.793103448275861</c:v>
                </c:pt>
                <c:pt idx="6">
                  <c:v>20.689655172413794</c:v>
                </c:pt>
                <c:pt idx="7">
                  <c:v>24.137931034482758</c:v>
                </c:pt>
                <c:pt idx="8">
                  <c:v>37.931034482758619</c:v>
                </c:pt>
                <c:pt idx="9">
                  <c:v>31.03448275862069</c:v>
                </c:pt>
                <c:pt idx="10">
                  <c:v>34.482758620689658</c:v>
                </c:pt>
                <c:pt idx="11">
                  <c:v>31.03448275862069</c:v>
                </c:pt>
              </c:numCache>
            </c:numRef>
          </c:val>
          <c:extLst>
            <c:ext xmlns:c16="http://schemas.microsoft.com/office/drawing/2014/chart" uri="{C3380CC4-5D6E-409C-BE32-E72D297353CC}">
              <c16:uniqueId val="{00000001-E796-4BD8-AE2F-63213342BA8C}"/>
            </c:ext>
          </c:extLst>
        </c:ser>
        <c:ser>
          <c:idx val="2"/>
          <c:order val="2"/>
          <c:tx>
            <c:strRef>
              <c:f>Arkusz17!$D$18</c:f>
              <c:strCache>
                <c:ptCount val="1"/>
                <c:pt idx="0">
                  <c:v>Raczej się nie zgadzam</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50000"/>
                        <a:lumOff val="50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Arkusz17!$A$19:$A$30</c:f>
              <c:strCache>
                <c:ptCount val="12"/>
                <c:pt idx="0">
                  <c:v>Jestem poinformowany o aktualnych działaniach LGD</c:v>
                </c:pt>
                <c:pt idx="1">
                  <c:v>LGR dostarcza kompletnej i rzetelnej wiedzy potrzebnej do rozwiązania problemu</c:v>
                </c:pt>
                <c:pt idx="2">
                  <c:v>Pracownicy  biura  LGR  w  razie  problemów  szybko reagują i służą wsparciem</c:v>
                </c:pt>
                <c:pt idx="3">
                  <c:v>LGR jest otwarte na współpracę z innymi podmiotami</c:v>
                </c:pt>
                <c:pt idx="4">
                  <c:v>LGR pyta mieszkańców o ich potrzeby i konsultuje kierunki rozwoju obszaru na którym działa</c:v>
                </c:pt>
                <c:pt idx="5">
                  <c:v>Działalność LGR jest potrzebna</c:v>
                </c:pt>
                <c:pt idx="6">
                  <c:v>Bez LGR obszar rozwijałby się gorzej</c:v>
                </c:pt>
                <c:pt idx="7">
                  <c:v>Widzę na obszarze gminy inwestycje i działania finansowane ze środków UE</c:v>
                </c:pt>
                <c:pt idx="8">
                  <c:v>Dzięki LGR mieszkańcy są bardziej skłonni do podejmowania działań przedsiębiorczych</c:v>
                </c:pt>
                <c:pt idx="9">
                  <c:v>Dzięki działalności LGR obszar (gmina) jest bardziej znany w okolicy</c:v>
                </c:pt>
                <c:pt idx="10">
                  <c:v>Poprzez LSR mieszkańcy mogą mieć realny wpływ na to co dzieje się w ich najbliższym otoczeniu</c:v>
                </c:pt>
                <c:pt idx="11">
                  <c:v>Mieszkańcy chcą aby działania zrealizowane w ramach LSR były kontynuowane</c:v>
                </c:pt>
              </c:strCache>
            </c:strRef>
          </c:cat>
          <c:val>
            <c:numRef>
              <c:f>Arkusz17!$D$19:$D$30</c:f>
              <c:numCache>
                <c:formatCode>_(* #,##0.00_);_(* \(#,##0.00\);_(* "-"??_);_(@_)</c:formatCode>
                <c:ptCount val="12"/>
                <c:pt idx="0">
                  <c:v>6.8965517241379306</c:v>
                </c:pt>
                <c:pt idx="1">
                  <c:v>0</c:v>
                </c:pt>
                <c:pt idx="2">
                  <c:v>3.4482758620689653</c:v>
                </c:pt>
                <c:pt idx="3">
                  <c:v>3.4482758620689653</c:v>
                </c:pt>
                <c:pt idx="4">
                  <c:v>0</c:v>
                </c:pt>
                <c:pt idx="5">
                  <c:v>0</c:v>
                </c:pt>
                <c:pt idx="6">
                  <c:v>0</c:v>
                </c:pt>
                <c:pt idx="7">
                  <c:v>0</c:v>
                </c:pt>
                <c:pt idx="8">
                  <c:v>3.4482758620689653</c:v>
                </c:pt>
                <c:pt idx="9">
                  <c:v>3.4482758620689653</c:v>
                </c:pt>
                <c:pt idx="10">
                  <c:v>3.4482758620689653</c:v>
                </c:pt>
                <c:pt idx="11">
                  <c:v>0</c:v>
                </c:pt>
              </c:numCache>
            </c:numRef>
          </c:val>
          <c:extLst>
            <c:ext xmlns:c16="http://schemas.microsoft.com/office/drawing/2014/chart" uri="{C3380CC4-5D6E-409C-BE32-E72D297353CC}">
              <c16:uniqueId val="{00000002-E796-4BD8-AE2F-63213342BA8C}"/>
            </c:ext>
          </c:extLst>
        </c:ser>
        <c:ser>
          <c:idx val="3"/>
          <c:order val="3"/>
          <c:tx>
            <c:strRef>
              <c:f>Arkusz17!$E$18</c:f>
              <c:strCache>
                <c:ptCount val="1"/>
                <c:pt idx="0">
                  <c:v>Zdecydowanie się nie zgadzam</c:v>
                </c:pt>
              </c:strCache>
            </c:strRef>
          </c:tx>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Arkusz17!$A$19:$A$30</c:f>
              <c:strCache>
                <c:ptCount val="12"/>
                <c:pt idx="0">
                  <c:v>Jestem poinformowany o aktualnych działaniach LGD</c:v>
                </c:pt>
                <c:pt idx="1">
                  <c:v>LGR dostarcza kompletnej i rzetelnej wiedzy potrzebnej do rozwiązania problemu</c:v>
                </c:pt>
                <c:pt idx="2">
                  <c:v>Pracownicy  biura  LGR  w  razie  problemów  szybko reagują i służą wsparciem</c:v>
                </c:pt>
                <c:pt idx="3">
                  <c:v>LGR jest otwarte na współpracę z innymi podmiotami</c:v>
                </c:pt>
                <c:pt idx="4">
                  <c:v>LGR pyta mieszkańców o ich potrzeby i konsultuje kierunki rozwoju obszaru na którym działa</c:v>
                </c:pt>
                <c:pt idx="5">
                  <c:v>Działalność LGR jest potrzebna</c:v>
                </c:pt>
                <c:pt idx="6">
                  <c:v>Bez LGR obszar rozwijałby się gorzej</c:v>
                </c:pt>
                <c:pt idx="7">
                  <c:v>Widzę na obszarze gminy inwestycje i działania finansowane ze środków UE</c:v>
                </c:pt>
                <c:pt idx="8">
                  <c:v>Dzięki LGR mieszkańcy są bardziej skłonni do podejmowania działań przedsiębiorczych</c:v>
                </c:pt>
                <c:pt idx="9">
                  <c:v>Dzięki działalności LGR obszar (gmina) jest bardziej znany w okolicy</c:v>
                </c:pt>
                <c:pt idx="10">
                  <c:v>Poprzez LSR mieszkańcy mogą mieć realny wpływ na to co dzieje się w ich najbliższym otoczeniu</c:v>
                </c:pt>
                <c:pt idx="11">
                  <c:v>Mieszkańcy chcą aby działania zrealizowane w ramach LSR były kontynuowane</c:v>
                </c:pt>
              </c:strCache>
            </c:strRef>
          </c:cat>
          <c:val>
            <c:numRef>
              <c:f>Arkusz17!$E$19:$E$30</c:f>
              <c:numCache>
                <c:formatCode>_(* #,##0.00_);_(* \(#,##0.00\);_(* "-"??_);_(@_)</c:formatCode>
                <c:ptCount val="12"/>
                <c:pt idx="0">
                  <c:v>0</c:v>
                </c:pt>
                <c:pt idx="1">
                  <c:v>0</c:v>
                </c:pt>
                <c:pt idx="2">
                  <c:v>0</c:v>
                </c:pt>
                <c:pt idx="3">
                  <c:v>0</c:v>
                </c:pt>
                <c:pt idx="4">
                  <c:v>0</c:v>
                </c:pt>
                <c:pt idx="5">
                  <c:v>0</c:v>
                </c:pt>
                <c:pt idx="6">
                  <c:v>3.4482758620689653</c:v>
                </c:pt>
                <c:pt idx="7">
                  <c:v>0</c:v>
                </c:pt>
                <c:pt idx="8">
                  <c:v>0</c:v>
                </c:pt>
                <c:pt idx="9">
                  <c:v>0</c:v>
                </c:pt>
                <c:pt idx="10">
                  <c:v>0</c:v>
                </c:pt>
                <c:pt idx="11">
                  <c:v>0</c:v>
                </c:pt>
              </c:numCache>
            </c:numRef>
          </c:val>
          <c:extLst>
            <c:ext xmlns:c16="http://schemas.microsoft.com/office/drawing/2014/chart" uri="{C3380CC4-5D6E-409C-BE32-E72D297353CC}">
              <c16:uniqueId val="{00000003-E796-4BD8-AE2F-63213342BA8C}"/>
            </c:ext>
          </c:extLst>
        </c:ser>
        <c:ser>
          <c:idx val="4"/>
          <c:order val="4"/>
          <c:tx>
            <c:strRef>
              <c:f>Arkusz17!$F$18</c:f>
              <c:strCache>
                <c:ptCount val="1"/>
                <c:pt idx="0">
                  <c:v>Trudno powiedzieć</c:v>
                </c:pt>
              </c:strCache>
            </c:strRef>
          </c:tx>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50000"/>
                        <a:lumOff val="50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Arkusz17!$A$19:$A$30</c:f>
              <c:strCache>
                <c:ptCount val="12"/>
                <c:pt idx="0">
                  <c:v>Jestem poinformowany o aktualnych działaniach LGD</c:v>
                </c:pt>
                <c:pt idx="1">
                  <c:v>LGR dostarcza kompletnej i rzetelnej wiedzy potrzebnej do rozwiązania problemu</c:v>
                </c:pt>
                <c:pt idx="2">
                  <c:v>Pracownicy  biura  LGR  w  razie  problemów  szybko reagują i służą wsparciem</c:v>
                </c:pt>
                <c:pt idx="3">
                  <c:v>LGR jest otwarte na współpracę z innymi podmiotami</c:v>
                </c:pt>
                <c:pt idx="4">
                  <c:v>LGR pyta mieszkańców o ich potrzeby i konsultuje kierunki rozwoju obszaru na którym działa</c:v>
                </c:pt>
                <c:pt idx="5">
                  <c:v>Działalność LGR jest potrzebna</c:v>
                </c:pt>
                <c:pt idx="6">
                  <c:v>Bez LGR obszar rozwijałby się gorzej</c:v>
                </c:pt>
                <c:pt idx="7">
                  <c:v>Widzę na obszarze gminy inwestycje i działania finansowane ze środków UE</c:v>
                </c:pt>
                <c:pt idx="8">
                  <c:v>Dzięki LGR mieszkańcy są bardziej skłonni do podejmowania działań przedsiębiorczych</c:v>
                </c:pt>
                <c:pt idx="9">
                  <c:v>Dzięki działalności LGR obszar (gmina) jest bardziej znany w okolicy</c:v>
                </c:pt>
                <c:pt idx="10">
                  <c:v>Poprzez LSR mieszkańcy mogą mieć realny wpływ na to co dzieje się w ich najbliższym otoczeniu</c:v>
                </c:pt>
                <c:pt idx="11">
                  <c:v>Mieszkańcy chcą aby działania zrealizowane w ramach LSR były kontynuowane</c:v>
                </c:pt>
              </c:strCache>
            </c:strRef>
          </c:cat>
          <c:val>
            <c:numRef>
              <c:f>Arkusz17!$F$19:$F$30</c:f>
              <c:numCache>
                <c:formatCode>_(* #,##0.00_);_(* \(#,##0.00\);_(* "-"??_);_(@_)</c:formatCode>
                <c:ptCount val="12"/>
                <c:pt idx="0">
                  <c:v>10.344827586206897</c:v>
                </c:pt>
                <c:pt idx="1">
                  <c:v>6.8965517241379306</c:v>
                </c:pt>
                <c:pt idx="2">
                  <c:v>3.4482758620689653</c:v>
                </c:pt>
                <c:pt idx="3">
                  <c:v>10.344827586206897</c:v>
                </c:pt>
                <c:pt idx="4">
                  <c:v>13.793103448275861</c:v>
                </c:pt>
                <c:pt idx="5">
                  <c:v>3.4482758620689653</c:v>
                </c:pt>
                <c:pt idx="6">
                  <c:v>3.4482758620689653</c:v>
                </c:pt>
                <c:pt idx="7">
                  <c:v>3.4482758620689653</c:v>
                </c:pt>
                <c:pt idx="8">
                  <c:v>0</c:v>
                </c:pt>
                <c:pt idx="9">
                  <c:v>6.8965517241379306</c:v>
                </c:pt>
                <c:pt idx="10">
                  <c:v>10.344827586206897</c:v>
                </c:pt>
                <c:pt idx="11">
                  <c:v>6.8965517241379306</c:v>
                </c:pt>
              </c:numCache>
            </c:numRef>
          </c:val>
          <c:extLst>
            <c:ext xmlns:c16="http://schemas.microsoft.com/office/drawing/2014/chart" uri="{C3380CC4-5D6E-409C-BE32-E72D297353CC}">
              <c16:uniqueId val="{00000004-E796-4BD8-AE2F-63213342BA8C}"/>
            </c:ext>
          </c:extLst>
        </c:ser>
        <c:dLbls>
          <c:dLblPos val="ctr"/>
          <c:showLegendKey val="0"/>
          <c:showVal val="1"/>
          <c:showCatName val="0"/>
          <c:showSerName val="0"/>
          <c:showPercent val="0"/>
          <c:showBubbleSize val="0"/>
        </c:dLbls>
        <c:gapWidth val="150"/>
        <c:overlap val="100"/>
        <c:axId val="1689096015"/>
        <c:axId val="1688604559"/>
      </c:barChart>
      <c:catAx>
        <c:axId val="16890960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50000"/>
                    <a:lumOff val="50000"/>
                  </a:schemeClr>
                </a:solidFill>
                <a:latin typeface="+mn-lt"/>
                <a:ea typeface="+mn-ea"/>
                <a:cs typeface="+mn-cs"/>
              </a:defRPr>
            </a:pPr>
            <a:endParaRPr lang="pl-PL"/>
          </a:p>
        </c:txPr>
        <c:crossAx val="1688604559"/>
        <c:crosses val="autoZero"/>
        <c:auto val="1"/>
        <c:lblAlgn val="ctr"/>
        <c:lblOffset val="100"/>
        <c:noMultiLvlLbl val="0"/>
      </c:catAx>
      <c:valAx>
        <c:axId val="168860455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50000"/>
                    <a:lumOff val="50000"/>
                  </a:schemeClr>
                </a:solidFill>
                <a:latin typeface="+mn-lt"/>
                <a:ea typeface="+mn-ea"/>
                <a:cs typeface="+mn-cs"/>
              </a:defRPr>
            </a:pPr>
            <a:endParaRPr lang="pl-PL"/>
          </a:p>
        </c:txPr>
        <c:crossAx val="1689096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50000"/>
                  <a:lumOff val="50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8E2B-A816-44A2-8813-1B988581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4133</Words>
  <Characters>24801</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Kowalska</dc:creator>
  <cp:keywords/>
  <dc:description/>
  <cp:lastModifiedBy>Marzena Kowalska</cp:lastModifiedBy>
  <cp:revision>2</cp:revision>
  <dcterms:created xsi:type="dcterms:W3CDTF">2024-08-28T08:01:00Z</dcterms:created>
  <dcterms:modified xsi:type="dcterms:W3CDTF">2024-08-28T08:01:00Z</dcterms:modified>
</cp:coreProperties>
</file>